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9126" w14:textId="77777777" w:rsidR="00187D73" w:rsidRPr="00187D73" w:rsidRDefault="00187D73" w:rsidP="00187D73">
      <w:pPr>
        <w:widowControl/>
        <w:spacing w:before="120" w:after="120" w:line="259" w:lineRule="auto"/>
        <w:ind w:left="357" w:hanging="357"/>
        <w:jc w:val="both"/>
        <w:rPr>
          <w:rFonts w:ascii="Verdana" w:hAnsi="Verdana"/>
          <w:sz w:val="21"/>
          <w:szCs w:val="21"/>
          <w:lang w:val="cs-CZ"/>
        </w:rPr>
      </w:pPr>
    </w:p>
    <w:p w14:paraId="7A86D699" w14:textId="55172EBE" w:rsidR="00187D73" w:rsidRPr="006B54AB" w:rsidRDefault="00D51BEC" w:rsidP="006B54AB">
      <w:pPr>
        <w:widowControl/>
        <w:spacing w:before="120" w:after="120" w:line="259" w:lineRule="auto"/>
        <w:rPr>
          <w:rFonts w:ascii="Verdana" w:hAnsi="Verdana" w:cs="Calibri"/>
          <w:b/>
          <w:bCs/>
          <w:color w:val="1F497D" w:themeColor="text2"/>
          <w:sz w:val="24"/>
          <w:szCs w:val="24"/>
          <w:lang w:val="cs-CZ"/>
        </w:rPr>
      </w:pPr>
      <w:r w:rsidRPr="006B54AB">
        <w:rPr>
          <w:rFonts w:ascii="Verdana" w:hAnsi="Verdana" w:cs="Calibri"/>
          <w:b/>
          <w:bCs/>
          <w:color w:val="1F497D" w:themeColor="text2"/>
          <w:sz w:val="24"/>
          <w:szCs w:val="24"/>
          <w:lang w:val="cs-CZ"/>
        </w:rPr>
        <w:t>KOMPETENCE PRO BUDOUCNOST</w:t>
      </w:r>
    </w:p>
    <w:p w14:paraId="75691BBE" w14:textId="77777777" w:rsidR="00D51BEC" w:rsidRPr="001907CC" w:rsidRDefault="00D51BEC" w:rsidP="00D51BEC">
      <w:pPr>
        <w:widowControl/>
        <w:spacing w:before="120" w:after="120" w:line="259" w:lineRule="auto"/>
        <w:jc w:val="center"/>
        <w:rPr>
          <w:rFonts w:ascii="Verdana" w:hAnsi="Verdana" w:cs="Calibri"/>
          <w:b/>
          <w:bCs/>
          <w:color w:val="000000"/>
          <w:lang w:val="cs-CZ"/>
        </w:rPr>
      </w:pPr>
    </w:p>
    <w:p w14:paraId="5BEA2EB9" w14:textId="7E7FC39D" w:rsidR="00187D73" w:rsidRPr="00187D73" w:rsidRDefault="00187D73" w:rsidP="00187D73">
      <w:pPr>
        <w:widowControl/>
        <w:spacing w:before="120" w:after="120" w:line="259" w:lineRule="auto"/>
        <w:jc w:val="both"/>
        <w:rPr>
          <w:rFonts w:ascii="Arial" w:eastAsia="Times New Roman" w:hAnsi="Arial" w:cs="Arial"/>
          <w:b/>
          <w:bCs/>
          <w:color w:val="2F5496"/>
          <w:lang w:val="cs-CZ"/>
        </w:rPr>
      </w:pPr>
      <w:r w:rsidRPr="00187D73">
        <w:rPr>
          <w:rFonts w:ascii="Arial" w:eastAsia="Times New Roman" w:hAnsi="Arial" w:cs="Arial"/>
          <w:b/>
          <w:bCs/>
          <w:color w:val="2F5496"/>
          <w:lang w:val="cs-CZ"/>
        </w:rPr>
        <w:t xml:space="preserve">Žijeme v době </w:t>
      </w:r>
      <w:r w:rsidR="007371AC">
        <w:rPr>
          <w:rFonts w:ascii="Arial" w:eastAsia="Times New Roman" w:hAnsi="Arial" w:cs="Arial"/>
          <w:b/>
          <w:bCs/>
          <w:color w:val="2F5496"/>
          <w:lang w:val="cs-CZ"/>
        </w:rPr>
        <w:t xml:space="preserve">digitalizace a </w:t>
      </w:r>
      <w:r w:rsidRPr="00187D73">
        <w:rPr>
          <w:rFonts w:ascii="Arial" w:eastAsia="Times New Roman" w:hAnsi="Arial" w:cs="Arial"/>
          <w:b/>
          <w:bCs/>
          <w:color w:val="2F5496"/>
          <w:lang w:val="cs-CZ"/>
        </w:rPr>
        <w:t xml:space="preserve">neustálého vývoje </w:t>
      </w:r>
      <w:r w:rsidR="007371AC">
        <w:rPr>
          <w:rFonts w:ascii="Arial" w:eastAsia="Times New Roman" w:hAnsi="Arial" w:cs="Arial"/>
          <w:b/>
          <w:bCs/>
          <w:color w:val="2F5496"/>
          <w:lang w:val="cs-CZ"/>
        </w:rPr>
        <w:t xml:space="preserve">a modernizace </w:t>
      </w:r>
      <w:r w:rsidRPr="00187D73">
        <w:rPr>
          <w:rFonts w:ascii="Arial" w:eastAsia="Times New Roman" w:hAnsi="Arial" w:cs="Arial"/>
          <w:b/>
          <w:bCs/>
          <w:color w:val="2F5496"/>
          <w:lang w:val="cs-CZ"/>
        </w:rPr>
        <w:t xml:space="preserve">technologií, požadavky trhu práce se mění. Jsme na to připraveni? </w:t>
      </w:r>
    </w:p>
    <w:p w14:paraId="1803B812" w14:textId="77777777" w:rsidR="00187D73" w:rsidRPr="00187D73" w:rsidRDefault="00187D73" w:rsidP="00187D73">
      <w:pPr>
        <w:widowControl/>
        <w:spacing w:before="120" w:after="120" w:line="259" w:lineRule="auto"/>
        <w:jc w:val="both"/>
        <w:rPr>
          <w:rFonts w:ascii="Arial" w:hAnsi="Arial" w:cs="Arial"/>
          <w:color w:val="000000"/>
          <w:lang w:val="cs-CZ"/>
        </w:rPr>
      </w:pPr>
      <w:r w:rsidRPr="00187D73">
        <w:rPr>
          <w:rFonts w:ascii="Arial" w:hAnsi="Arial" w:cs="Arial"/>
          <w:color w:val="000000"/>
          <w:lang w:val="cs-CZ"/>
        </w:rPr>
        <w:t>Průmysl 4.0 přináší velké množství změn v oblasti technologií, automatizace, robotizace a digitalizace. Česká republika nutně potřebuje zavádět nejmodernější technologie, aby si zajistila mezinárodní konkurenceschopnost.</w:t>
      </w:r>
    </w:p>
    <w:p w14:paraId="0B89A776" w14:textId="7ADF598C" w:rsidR="00187D73" w:rsidRPr="00187D73" w:rsidRDefault="00187D73" w:rsidP="00187D73">
      <w:pPr>
        <w:widowControl/>
        <w:spacing w:before="120" w:after="120" w:line="259" w:lineRule="auto"/>
        <w:jc w:val="both"/>
        <w:rPr>
          <w:rFonts w:ascii="Arial" w:hAnsi="Arial" w:cs="Arial"/>
          <w:color w:val="000000"/>
          <w:lang w:val="cs-CZ"/>
        </w:rPr>
      </w:pPr>
      <w:r w:rsidRPr="00187D73">
        <w:rPr>
          <w:rFonts w:ascii="Arial" w:hAnsi="Arial" w:cs="Arial"/>
          <w:color w:val="000000"/>
          <w:lang w:val="cs-CZ"/>
        </w:rPr>
        <w:t>S těmito změnami souvisejí i nové požadavky na kvalifikaci lidí. Firmy při zavádění digitalizace urgentně potřebují pracovníky, kteří disponují novými kompetencemi. A to je zásadní výzva pro vzdělávání, počáteční i další, propojené v rámci celoživotního učení. Musíme se naučit neustále inovovat vzdělávání, abychom lidem umožnili naučit se nejnovější dovednosti. To se netýká jen žáků a škol, ale čím dál více i dospělých. Potřebujeme moderní vzdělávání v</w:t>
      </w:r>
      <w:r w:rsidR="003C3E5B">
        <w:rPr>
          <w:rFonts w:ascii="Arial" w:hAnsi="Arial" w:cs="Arial"/>
          <w:color w:val="000000"/>
          <w:lang w:val="cs-CZ"/>
        </w:rPr>
        <w:t>e</w:t>
      </w:r>
      <w:r w:rsidRPr="00187D73">
        <w:rPr>
          <w:rFonts w:ascii="Arial" w:hAnsi="Arial" w:cs="Arial"/>
          <w:color w:val="000000"/>
          <w:lang w:val="cs-CZ"/>
        </w:rPr>
        <w:t xml:space="preserve"> školách i moderní rekvalifikace.</w:t>
      </w:r>
    </w:p>
    <w:p w14:paraId="645055E1" w14:textId="082342CB" w:rsidR="00187D73" w:rsidRPr="00187D73" w:rsidRDefault="00187D73" w:rsidP="00187D73">
      <w:pPr>
        <w:widowControl/>
        <w:spacing w:before="120" w:after="120" w:line="259" w:lineRule="auto"/>
        <w:jc w:val="both"/>
        <w:rPr>
          <w:rFonts w:ascii="Arial" w:hAnsi="Arial" w:cs="Arial"/>
          <w:color w:val="000000"/>
          <w:lang w:val="cs-CZ"/>
        </w:rPr>
      </w:pPr>
      <w:r w:rsidRPr="00187D73">
        <w:rPr>
          <w:rFonts w:ascii="Arial" w:hAnsi="Arial" w:cs="Arial"/>
          <w:color w:val="000000"/>
          <w:lang w:val="cs-CZ"/>
        </w:rPr>
        <w:t xml:space="preserve">Vzdělávací programy by měly být postaveny na spolehlivých výsledcích monitoringu trhu práce, vycházet z rychle se měnících kvalifikačních požadavků zaměstnavatelů. Nakolik budou mít rekvalifikace, programy tolik skloňovaného UpSkillingu a ReSkillingu, reálný dopad na uplatnění lidí na trhu práce, rozhodují právě </w:t>
      </w:r>
      <w:r w:rsidRPr="00187D73">
        <w:rPr>
          <w:rFonts w:ascii="Arial" w:hAnsi="Arial" w:cs="Arial"/>
          <w:b/>
          <w:bCs/>
          <w:color w:val="000000"/>
          <w:lang w:val="cs-CZ"/>
        </w:rPr>
        <w:t>správně identifikované a popsané kompetence</w:t>
      </w:r>
      <w:r w:rsidRPr="00187D73">
        <w:rPr>
          <w:rFonts w:ascii="Arial" w:hAnsi="Arial" w:cs="Arial"/>
          <w:color w:val="000000"/>
          <w:lang w:val="cs-CZ"/>
        </w:rPr>
        <w:t xml:space="preserve">, které jsou součástí popisu povolání i profesních kvalifikací.  </w:t>
      </w:r>
    </w:p>
    <w:p w14:paraId="4BC6164D" w14:textId="77777777" w:rsidR="00187D73" w:rsidRPr="00187D73" w:rsidRDefault="00187D73" w:rsidP="00187D73">
      <w:pPr>
        <w:widowControl/>
        <w:spacing w:before="120" w:after="120" w:line="259" w:lineRule="auto"/>
        <w:jc w:val="both"/>
        <w:rPr>
          <w:rFonts w:ascii="Arial" w:hAnsi="Arial" w:cs="Arial"/>
          <w:color w:val="000000"/>
          <w:lang w:val="cs-CZ"/>
        </w:rPr>
      </w:pPr>
    </w:p>
    <w:p w14:paraId="06FC1A6B" w14:textId="3B2E254C" w:rsidR="00187D73" w:rsidRPr="00187D73" w:rsidRDefault="00187D73" w:rsidP="00187D73">
      <w:pPr>
        <w:widowControl/>
        <w:spacing w:before="120" w:after="120" w:line="259" w:lineRule="auto"/>
        <w:jc w:val="both"/>
        <w:rPr>
          <w:rFonts w:ascii="Arial" w:hAnsi="Arial" w:cs="Arial"/>
          <w:b/>
          <w:bCs/>
          <w:color w:val="000000"/>
          <w:lang w:val="cs-CZ"/>
        </w:rPr>
      </w:pPr>
      <w:r w:rsidRPr="00187D73">
        <w:rPr>
          <w:rFonts w:ascii="Arial" w:eastAsia="Times New Roman" w:hAnsi="Arial" w:cs="Arial"/>
          <w:b/>
          <w:bCs/>
          <w:color w:val="2F5496"/>
          <w:lang w:val="cs-CZ"/>
        </w:rPr>
        <w:t xml:space="preserve">Proč projekt „Kompetence 4.0“, co </w:t>
      </w:r>
      <w:r w:rsidR="003C3E5B">
        <w:rPr>
          <w:rFonts w:ascii="Arial" w:eastAsia="Times New Roman" w:hAnsi="Arial" w:cs="Arial"/>
          <w:b/>
          <w:bCs/>
          <w:color w:val="2F5496"/>
          <w:lang w:val="cs-CZ"/>
        </w:rPr>
        <w:t>p</w:t>
      </w:r>
      <w:r w:rsidRPr="00187D73">
        <w:rPr>
          <w:rFonts w:ascii="Arial" w:eastAsia="Times New Roman" w:hAnsi="Arial" w:cs="Arial"/>
          <w:b/>
          <w:bCs/>
          <w:color w:val="2F5496"/>
          <w:lang w:val="cs-CZ"/>
        </w:rPr>
        <w:t>řin</w:t>
      </w:r>
      <w:r w:rsidR="003C3E5B">
        <w:rPr>
          <w:rFonts w:ascii="Arial" w:eastAsia="Times New Roman" w:hAnsi="Arial" w:cs="Arial"/>
          <w:b/>
          <w:bCs/>
          <w:color w:val="2F5496"/>
          <w:lang w:val="cs-CZ"/>
        </w:rPr>
        <w:t>áší</w:t>
      </w:r>
      <w:r w:rsidRPr="00187D73">
        <w:rPr>
          <w:rFonts w:ascii="Arial" w:eastAsia="Times New Roman" w:hAnsi="Arial" w:cs="Arial"/>
          <w:b/>
          <w:bCs/>
          <w:color w:val="2F5496"/>
          <w:lang w:val="cs-CZ"/>
        </w:rPr>
        <w:t>?</w:t>
      </w:r>
    </w:p>
    <w:p w14:paraId="7C8AA957" w14:textId="4B63A88C" w:rsidR="00187D73" w:rsidRPr="00187D73" w:rsidRDefault="00187D73" w:rsidP="00187D73">
      <w:pPr>
        <w:widowControl/>
        <w:spacing w:before="120" w:after="120" w:line="259" w:lineRule="auto"/>
        <w:jc w:val="both"/>
        <w:rPr>
          <w:rFonts w:ascii="Arial" w:eastAsia="Times New Roman" w:hAnsi="Arial" w:cs="Arial"/>
          <w:color w:val="000000"/>
          <w:lang w:val="cs-CZ"/>
        </w:rPr>
      </w:pPr>
      <w:r w:rsidRPr="00187D73">
        <w:rPr>
          <w:rFonts w:ascii="Arial" w:eastAsia="Times New Roman" w:hAnsi="Arial" w:cs="Arial"/>
          <w:bCs/>
          <w:color w:val="000000"/>
          <w:lang w:val="cs-CZ"/>
        </w:rPr>
        <w:t xml:space="preserve">Projekt </w:t>
      </w:r>
      <w:r w:rsidRPr="00942C23">
        <w:rPr>
          <w:rFonts w:ascii="Arial" w:eastAsia="Times New Roman" w:hAnsi="Arial" w:cs="Arial"/>
          <w:b/>
          <w:color w:val="000000"/>
          <w:lang w:val="cs-CZ"/>
        </w:rPr>
        <w:t>„</w:t>
      </w:r>
      <w:r w:rsidRPr="00187D73">
        <w:rPr>
          <w:rFonts w:ascii="Arial" w:eastAsia="Times New Roman" w:hAnsi="Arial" w:cs="Arial"/>
          <w:b/>
          <w:color w:val="000000"/>
          <w:lang w:val="cs-CZ"/>
        </w:rPr>
        <w:t>Kompetence 4.0</w:t>
      </w:r>
      <w:r w:rsidR="00942C23" w:rsidRPr="00942C23">
        <w:rPr>
          <w:rFonts w:ascii="Arial" w:eastAsia="Times New Roman" w:hAnsi="Arial" w:cs="Arial"/>
          <w:b/>
          <w:color w:val="000000"/>
          <w:lang w:val="cs-CZ"/>
        </w:rPr>
        <w:t>“</w:t>
      </w:r>
      <w:r>
        <w:rPr>
          <w:rFonts w:ascii="Arial" w:eastAsia="Times New Roman" w:hAnsi="Arial" w:cs="Arial"/>
          <w:bCs/>
          <w:color w:val="000000"/>
          <w:lang w:val="cs-CZ"/>
        </w:rPr>
        <w:t xml:space="preserve">, který realizuje Ministerstvo práce a sociálních věcí </w:t>
      </w:r>
      <w:r w:rsidR="00942C23">
        <w:rPr>
          <w:rFonts w:ascii="Arial" w:eastAsia="Times New Roman" w:hAnsi="Arial" w:cs="Arial"/>
          <w:bCs/>
          <w:color w:val="000000"/>
          <w:lang w:val="cs-CZ"/>
        </w:rPr>
        <w:t xml:space="preserve">České republiky </w:t>
      </w:r>
      <w:r w:rsidR="001907CC">
        <w:rPr>
          <w:rFonts w:ascii="Arial" w:eastAsia="Times New Roman" w:hAnsi="Arial" w:cs="Arial"/>
          <w:bCs/>
          <w:color w:val="000000"/>
          <w:lang w:val="cs-CZ"/>
        </w:rPr>
        <w:t xml:space="preserve">(MPSV) </w:t>
      </w:r>
      <w:r w:rsidR="00942C23">
        <w:rPr>
          <w:rFonts w:ascii="Arial" w:eastAsia="Times New Roman" w:hAnsi="Arial" w:cs="Arial"/>
          <w:bCs/>
          <w:color w:val="000000"/>
          <w:lang w:val="cs-CZ"/>
        </w:rPr>
        <w:t xml:space="preserve">a na jeho </w:t>
      </w:r>
      <w:r w:rsidR="00942C23" w:rsidRPr="00942C23">
        <w:rPr>
          <w:rFonts w:ascii="Arial" w:eastAsia="Times New Roman" w:hAnsi="Arial" w:cs="Arial"/>
          <w:bCs/>
          <w:color w:val="000000"/>
          <w:lang w:val="cs-CZ"/>
        </w:rPr>
        <w:t>řešení se podílí konsorcium složené ze Svazu průmyslu a dopravy ČR, Hospodářské komory České republiky a společnosti TREXIMA, spol. s r.o.</w:t>
      </w:r>
      <w:r w:rsidR="00942C23">
        <w:rPr>
          <w:rFonts w:ascii="Arial" w:eastAsia="Times New Roman" w:hAnsi="Arial" w:cs="Arial"/>
          <w:bCs/>
          <w:color w:val="000000"/>
          <w:lang w:val="cs-CZ"/>
        </w:rPr>
        <w:t>,</w:t>
      </w:r>
      <w:r w:rsidR="00942C23" w:rsidRPr="00942C23">
        <w:rPr>
          <w:rFonts w:ascii="Arial" w:eastAsia="Times New Roman" w:hAnsi="Arial" w:cs="Arial"/>
          <w:bCs/>
          <w:color w:val="000000"/>
          <w:lang w:val="cs-CZ"/>
        </w:rPr>
        <w:t xml:space="preserve"> </w:t>
      </w:r>
      <w:r w:rsidRPr="00187D73">
        <w:rPr>
          <w:rFonts w:ascii="Arial" w:eastAsia="Times New Roman" w:hAnsi="Arial" w:cs="Arial"/>
          <w:bCs/>
          <w:color w:val="000000"/>
          <w:lang w:val="cs-CZ"/>
        </w:rPr>
        <w:t>tyto trendy a jejich vliv na trh práce a vzdělávání mapuje.</w:t>
      </w:r>
      <w:r w:rsidRPr="00187D73">
        <w:rPr>
          <w:rFonts w:ascii="Arial" w:eastAsia="Times New Roman" w:hAnsi="Arial" w:cs="Arial"/>
          <w:color w:val="000000"/>
          <w:lang w:val="cs-CZ"/>
        </w:rPr>
        <w:t xml:space="preserve"> Pomáhá firmám a jejich zaměstnancům přizpůsobit se změnám souvisejícím se zaváděním Průmyslu 4.0. Přispívá ke  správnému zacílení intervencí ze strany státu v rámci aktivní politiky zaměstnanosti a rozvoje kvalifikace občanů a tím i k efektivnějšímu využití finančních prostředků, které do této oblasti směřují jak z Operačního programu Zaměstnanost+, tak i z Národního plánu obnovy.</w:t>
      </w:r>
    </w:p>
    <w:p w14:paraId="68346EE8" w14:textId="54828637" w:rsidR="00187D73" w:rsidRDefault="00187D73" w:rsidP="00187D73">
      <w:pPr>
        <w:widowControl/>
        <w:spacing w:before="120" w:after="120" w:line="259" w:lineRule="auto"/>
        <w:jc w:val="both"/>
        <w:rPr>
          <w:rFonts w:ascii="Arial" w:hAnsi="Arial" w:cs="Arial"/>
          <w:color w:val="000000"/>
          <w:lang w:val="cs-CZ"/>
        </w:rPr>
      </w:pPr>
      <w:r w:rsidRPr="00187D73">
        <w:rPr>
          <w:rFonts w:ascii="Arial" w:eastAsia="Times New Roman" w:hAnsi="Arial" w:cs="Arial"/>
          <w:color w:val="000000"/>
          <w:lang w:val="cs-CZ"/>
        </w:rPr>
        <w:t xml:space="preserve">Projekt je součástí </w:t>
      </w:r>
      <w:r w:rsidR="003C3E5B">
        <w:rPr>
          <w:rFonts w:ascii="Arial" w:eastAsia="Times New Roman" w:hAnsi="Arial" w:cs="Arial"/>
          <w:color w:val="000000"/>
          <w:lang w:val="cs-CZ"/>
        </w:rPr>
        <w:t>soustředěného</w:t>
      </w:r>
      <w:r w:rsidRPr="00187D73">
        <w:rPr>
          <w:rFonts w:ascii="Arial" w:eastAsia="Times New Roman" w:hAnsi="Arial" w:cs="Arial"/>
          <w:color w:val="000000"/>
          <w:lang w:val="cs-CZ"/>
        </w:rPr>
        <w:t xml:space="preserve"> úsilí M</w:t>
      </w:r>
      <w:r w:rsidR="007371AC">
        <w:rPr>
          <w:rFonts w:ascii="Arial" w:eastAsia="Times New Roman" w:hAnsi="Arial" w:cs="Arial"/>
          <w:color w:val="000000"/>
          <w:lang w:val="cs-CZ"/>
        </w:rPr>
        <w:t>PSV</w:t>
      </w:r>
      <w:r w:rsidRPr="00187D73">
        <w:rPr>
          <w:rFonts w:ascii="Arial" w:eastAsia="Times New Roman" w:hAnsi="Arial" w:cs="Arial"/>
          <w:color w:val="000000"/>
          <w:lang w:val="cs-CZ"/>
        </w:rPr>
        <w:t xml:space="preserve">, </w:t>
      </w:r>
      <w:r w:rsidR="007371AC">
        <w:rPr>
          <w:rFonts w:ascii="Arial" w:eastAsia="Times New Roman" w:hAnsi="Arial" w:cs="Arial"/>
          <w:color w:val="000000"/>
          <w:lang w:val="cs-CZ"/>
        </w:rPr>
        <w:t xml:space="preserve">které </w:t>
      </w:r>
      <w:r w:rsidRPr="00187D73">
        <w:rPr>
          <w:rFonts w:ascii="Arial" w:eastAsia="Times New Roman" w:hAnsi="Arial" w:cs="Arial"/>
          <w:color w:val="000000"/>
          <w:lang w:val="cs-CZ"/>
        </w:rPr>
        <w:t xml:space="preserve">v rámci </w:t>
      </w:r>
      <w:r w:rsidR="003C3E5B">
        <w:rPr>
          <w:rFonts w:ascii="Arial" w:eastAsia="Times New Roman" w:hAnsi="Arial" w:cs="Arial"/>
          <w:color w:val="000000"/>
          <w:lang w:val="cs-CZ"/>
        </w:rPr>
        <w:t xml:space="preserve">paralelního </w:t>
      </w:r>
      <w:r w:rsidRPr="00187D73">
        <w:rPr>
          <w:rFonts w:ascii="Arial" w:eastAsia="Times New Roman" w:hAnsi="Arial" w:cs="Arial"/>
          <w:color w:val="000000"/>
          <w:lang w:val="cs-CZ"/>
        </w:rPr>
        <w:t>projektu „KOMPAS“ vyvinu</w:t>
      </w:r>
      <w:r w:rsidR="007371AC">
        <w:rPr>
          <w:rFonts w:ascii="Arial" w:eastAsia="Times New Roman" w:hAnsi="Arial" w:cs="Arial"/>
          <w:color w:val="000000"/>
          <w:lang w:val="cs-CZ"/>
        </w:rPr>
        <w:t>lo</w:t>
      </w:r>
      <w:r w:rsidRPr="00187D73">
        <w:rPr>
          <w:rFonts w:ascii="Arial" w:eastAsia="Times New Roman" w:hAnsi="Arial" w:cs="Arial"/>
          <w:color w:val="000000"/>
          <w:lang w:val="cs-CZ"/>
        </w:rPr>
        <w:t xml:space="preserve"> nástroje pro kvantitativní předvídání změn na trhu práce. </w:t>
      </w:r>
      <w:r w:rsidR="003C3E5B">
        <w:rPr>
          <w:rFonts w:ascii="Arial" w:eastAsia="Times New Roman" w:hAnsi="Arial" w:cs="Arial"/>
          <w:color w:val="000000"/>
          <w:lang w:val="cs-CZ"/>
        </w:rPr>
        <w:t>„</w:t>
      </w:r>
      <w:r w:rsidRPr="00187D73">
        <w:rPr>
          <w:rFonts w:ascii="Arial" w:eastAsia="Times New Roman" w:hAnsi="Arial" w:cs="Arial"/>
          <w:color w:val="000000"/>
          <w:lang w:val="cs-CZ"/>
        </w:rPr>
        <w:t>Kompetence 4.0</w:t>
      </w:r>
      <w:r w:rsidR="003C3E5B">
        <w:rPr>
          <w:rFonts w:ascii="Arial" w:eastAsia="Times New Roman" w:hAnsi="Arial" w:cs="Arial"/>
          <w:color w:val="000000"/>
          <w:lang w:val="cs-CZ"/>
        </w:rPr>
        <w:t>“</w:t>
      </w:r>
      <w:r w:rsidRPr="00187D73">
        <w:rPr>
          <w:rFonts w:ascii="Arial" w:eastAsia="Times New Roman" w:hAnsi="Arial" w:cs="Arial"/>
          <w:color w:val="000000"/>
          <w:lang w:val="cs-CZ"/>
        </w:rPr>
        <w:t xml:space="preserve"> se zaměřují na kvalitativní hledisko, konkrétně na změny v obsahu práce a požadovaných dovednostech. </w:t>
      </w:r>
      <w:r w:rsidRPr="00187D73">
        <w:rPr>
          <w:rFonts w:ascii="Arial" w:hAnsi="Arial" w:cs="Arial"/>
          <w:color w:val="000000"/>
          <w:lang w:val="cs-CZ"/>
        </w:rPr>
        <w:t xml:space="preserve">V České republice je přitom projekt „Kompetence 4.0“ na národní úrovni zcela unikátní. </w:t>
      </w:r>
      <w:r w:rsidRPr="00187D73">
        <w:rPr>
          <w:rFonts w:ascii="Arial" w:hAnsi="Arial" w:cs="Arial"/>
          <w:bCs/>
          <w:color w:val="000000"/>
          <w:lang w:val="cs-CZ"/>
        </w:rPr>
        <w:t xml:space="preserve">V nejvyspělejších zemích (Německo, USA, ale např. i Estonsko, atd.) podobné systémy již běžně fungují. </w:t>
      </w:r>
      <w:r w:rsidR="003C3E5B">
        <w:rPr>
          <w:rFonts w:ascii="Arial" w:hAnsi="Arial" w:cs="Arial"/>
          <w:bCs/>
          <w:color w:val="000000"/>
          <w:lang w:val="cs-CZ"/>
        </w:rPr>
        <w:t>N</w:t>
      </w:r>
      <w:r w:rsidRPr="00187D73">
        <w:rPr>
          <w:rFonts w:ascii="Arial" w:hAnsi="Arial" w:cs="Arial"/>
          <w:bCs/>
          <w:color w:val="000000"/>
          <w:lang w:val="cs-CZ"/>
        </w:rPr>
        <w:t xml:space="preserve">árodní systémy popisující trh práce (Národní soustava povolání a Národní soustava kvalifikací) </w:t>
      </w:r>
      <w:r w:rsidR="003C3E5B" w:rsidRPr="003C3E5B">
        <w:rPr>
          <w:rFonts w:ascii="Arial" w:hAnsi="Arial" w:cs="Arial"/>
          <w:bCs/>
          <w:color w:val="000000"/>
          <w:lang w:val="cs-CZ"/>
        </w:rPr>
        <w:t xml:space="preserve">jsou pravidelně aktualizovány </w:t>
      </w:r>
      <w:r w:rsidRPr="00187D73">
        <w:rPr>
          <w:rFonts w:ascii="Arial" w:hAnsi="Arial" w:cs="Arial"/>
          <w:bCs/>
          <w:color w:val="000000"/>
          <w:lang w:val="cs-CZ"/>
        </w:rPr>
        <w:t>a zjištěné požadavky</w:t>
      </w:r>
      <w:r w:rsidR="003C3E5B">
        <w:rPr>
          <w:rFonts w:ascii="Arial" w:hAnsi="Arial" w:cs="Arial"/>
          <w:bCs/>
          <w:color w:val="000000"/>
          <w:lang w:val="cs-CZ"/>
        </w:rPr>
        <w:t xml:space="preserve"> následně </w:t>
      </w:r>
      <w:r w:rsidRPr="00187D73">
        <w:rPr>
          <w:rFonts w:ascii="Arial" w:hAnsi="Arial" w:cs="Arial"/>
          <w:bCs/>
          <w:color w:val="000000"/>
          <w:lang w:val="cs-CZ"/>
        </w:rPr>
        <w:t>přenáše</w:t>
      </w:r>
      <w:r w:rsidR="003C3E5B">
        <w:rPr>
          <w:rFonts w:ascii="Arial" w:hAnsi="Arial" w:cs="Arial"/>
          <w:bCs/>
          <w:color w:val="000000"/>
          <w:lang w:val="cs-CZ"/>
        </w:rPr>
        <w:t>ny</w:t>
      </w:r>
      <w:r w:rsidRPr="00187D73">
        <w:rPr>
          <w:rFonts w:ascii="Arial" w:hAnsi="Arial" w:cs="Arial"/>
          <w:bCs/>
          <w:color w:val="000000"/>
          <w:lang w:val="cs-CZ"/>
        </w:rPr>
        <w:t xml:space="preserve"> do počátečního i dalšího vzdělávání. Jedná se o významný prvek aktivní podpory zaměstnanosti. Pro řadu současných zaměstnanců to znamená, že jim stát pomůže ve chvíli, kdy jsou ohroženi ztrátou zaměstnání a s tím spojenými negativními problémy.</w:t>
      </w:r>
      <w:r w:rsidRPr="00187D73">
        <w:rPr>
          <w:rFonts w:ascii="Arial" w:hAnsi="Arial" w:cs="Arial"/>
          <w:color w:val="000000"/>
          <w:lang w:val="cs-CZ"/>
        </w:rPr>
        <w:t xml:space="preserve"> V tomto smyslu se jedná o velmi významnou a potřebnou intervenci státu, která je důležitá jak z pohledu jedince, tak i celé společnosti a její sociální soudržnosti.</w:t>
      </w:r>
    </w:p>
    <w:p w14:paraId="2EF85953" w14:textId="77777777" w:rsidR="001907CC" w:rsidRPr="00187D73" w:rsidRDefault="001907CC" w:rsidP="00187D73">
      <w:pPr>
        <w:widowControl/>
        <w:spacing w:before="120" w:after="120" w:line="259" w:lineRule="auto"/>
        <w:jc w:val="both"/>
        <w:rPr>
          <w:rFonts w:ascii="Arial" w:hAnsi="Arial" w:cs="Arial"/>
          <w:color w:val="000000"/>
          <w:lang w:val="cs-CZ"/>
        </w:rPr>
      </w:pPr>
    </w:p>
    <w:p w14:paraId="5D6542D1" w14:textId="1EF2DDB5" w:rsidR="00C92DD9" w:rsidRDefault="00C92DD9">
      <w:pPr>
        <w:widowControl/>
        <w:rPr>
          <w:rFonts w:ascii="Arial" w:eastAsia="Times New Roman" w:hAnsi="Arial" w:cs="Arial"/>
          <w:color w:val="2F5496"/>
          <w:lang w:val="cs-CZ"/>
        </w:rPr>
      </w:pPr>
      <w:r>
        <w:rPr>
          <w:rFonts w:ascii="Arial" w:eastAsia="Times New Roman" w:hAnsi="Arial" w:cs="Arial"/>
          <w:color w:val="2F5496"/>
          <w:lang w:val="cs-CZ"/>
        </w:rPr>
        <w:br w:type="page"/>
      </w:r>
    </w:p>
    <w:p w14:paraId="66302C6A" w14:textId="77777777" w:rsidR="00942C23" w:rsidRDefault="00942C23" w:rsidP="00187D73">
      <w:pPr>
        <w:keepNext/>
        <w:keepLines/>
        <w:widowControl/>
        <w:spacing w:before="40" w:after="0" w:line="259" w:lineRule="auto"/>
        <w:outlineLvl w:val="1"/>
        <w:rPr>
          <w:rFonts w:ascii="Arial" w:eastAsia="Times New Roman" w:hAnsi="Arial" w:cs="Arial"/>
          <w:color w:val="2F5496"/>
          <w:lang w:val="cs-CZ"/>
        </w:rPr>
      </w:pPr>
    </w:p>
    <w:p w14:paraId="01E14CD2" w14:textId="77777777" w:rsidR="00942C23" w:rsidRPr="00D51BEC" w:rsidRDefault="00942C23" w:rsidP="00187D73">
      <w:pPr>
        <w:widowControl/>
        <w:spacing w:before="120" w:after="120" w:line="259" w:lineRule="auto"/>
        <w:jc w:val="both"/>
        <w:rPr>
          <w:rFonts w:ascii="Arial" w:eastAsia="Times New Roman" w:hAnsi="Arial" w:cs="Arial"/>
          <w:color w:val="2F5496"/>
          <w:sz w:val="4"/>
          <w:szCs w:val="4"/>
          <w:lang w:val="cs-CZ"/>
        </w:rPr>
      </w:pPr>
    </w:p>
    <w:p w14:paraId="1C9AB0F3" w14:textId="5D10B3DF" w:rsidR="00D06449" w:rsidRDefault="00942C23" w:rsidP="00187D73">
      <w:pPr>
        <w:widowControl/>
        <w:spacing w:before="120" w:after="120" w:line="259" w:lineRule="auto"/>
        <w:jc w:val="both"/>
        <w:rPr>
          <w:rFonts w:ascii="Arial" w:eastAsia="Times New Roman" w:hAnsi="Arial" w:cs="Arial"/>
          <w:b/>
          <w:bCs/>
          <w:color w:val="2F5496"/>
          <w:lang w:val="cs-CZ"/>
        </w:rPr>
      </w:pPr>
      <w:r w:rsidRPr="00942C23">
        <w:rPr>
          <w:rFonts w:ascii="Arial" w:eastAsia="Times New Roman" w:hAnsi="Arial" w:cs="Arial"/>
          <w:b/>
          <w:bCs/>
          <w:color w:val="2F5496"/>
          <w:lang w:val="cs-CZ"/>
        </w:rPr>
        <w:t>Na co</w:t>
      </w:r>
      <w:r w:rsidR="00EB3F9E">
        <w:rPr>
          <w:rFonts w:ascii="Arial" w:eastAsia="Times New Roman" w:hAnsi="Arial" w:cs="Arial"/>
          <w:b/>
          <w:bCs/>
          <w:color w:val="2F5496"/>
          <w:lang w:val="cs-CZ"/>
        </w:rPr>
        <w:t xml:space="preserve"> konkrétně se aktivity projektu zaměřily?</w:t>
      </w:r>
    </w:p>
    <w:p w14:paraId="58E09E95" w14:textId="77777777" w:rsidR="00C92DD9" w:rsidRDefault="00C92DD9" w:rsidP="00187D73">
      <w:pPr>
        <w:widowControl/>
        <w:spacing w:before="120" w:after="120" w:line="259" w:lineRule="auto"/>
        <w:jc w:val="both"/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</w:pPr>
      <w:bookmarkStart w:id="0" w:name="_Hlk120624916"/>
    </w:p>
    <w:p w14:paraId="4B5B44F9" w14:textId="6124B92B" w:rsidR="00942C23" w:rsidRPr="00D06449" w:rsidRDefault="00D06449" w:rsidP="00187D73">
      <w:pPr>
        <w:widowControl/>
        <w:spacing w:before="120" w:after="120" w:line="259" w:lineRule="auto"/>
        <w:jc w:val="both"/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</w:pPr>
      <w:r w:rsidRPr="00D06449"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  <w:t>Spolupráce firem a škol</w:t>
      </w:r>
      <w:r w:rsidR="00942C23" w:rsidRPr="00D06449"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  <w:t xml:space="preserve"> </w:t>
      </w:r>
    </w:p>
    <w:bookmarkEnd w:id="0"/>
    <w:p w14:paraId="35F45401" w14:textId="2E63DF4C" w:rsidR="00D06449" w:rsidRDefault="00187D73" w:rsidP="00D06449">
      <w:pPr>
        <w:widowControl/>
        <w:spacing w:before="120" w:after="120" w:line="259" w:lineRule="auto"/>
        <w:jc w:val="both"/>
        <w:rPr>
          <w:rFonts w:ascii="Arial" w:hAnsi="Arial" w:cs="Arial"/>
          <w:color w:val="000000"/>
          <w:lang w:val="cs-CZ"/>
        </w:rPr>
      </w:pPr>
      <w:r w:rsidRPr="00187D73">
        <w:rPr>
          <w:rFonts w:ascii="Arial" w:hAnsi="Arial" w:cs="Arial"/>
          <w:color w:val="000000"/>
          <w:lang w:val="cs-CZ"/>
        </w:rPr>
        <w:t>Jedn</w:t>
      </w:r>
      <w:r w:rsidR="00942C23" w:rsidRPr="00942C23">
        <w:rPr>
          <w:rFonts w:ascii="Arial" w:hAnsi="Arial" w:cs="Arial"/>
          <w:color w:val="000000"/>
          <w:lang w:val="cs-CZ"/>
        </w:rPr>
        <w:t xml:space="preserve">ou částí </w:t>
      </w:r>
      <w:r w:rsidRPr="00187D73">
        <w:rPr>
          <w:rFonts w:ascii="Arial" w:hAnsi="Arial" w:cs="Arial"/>
          <w:color w:val="000000"/>
          <w:lang w:val="cs-CZ"/>
        </w:rPr>
        <w:t xml:space="preserve">aktivit projektu </w:t>
      </w:r>
      <w:r w:rsidR="00942C23">
        <w:rPr>
          <w:rFonts w:ascii="Arial" w:hAnsi="Arial" w:cs="Arial"/>
          <w:color w:val="000000"/>
          <w:lang w:val="cs-CZ"/>
        </w:rPr>
        <w:t>bylo</w:t>
      </w:r>
      <w:r w:rsidRPr="00187D73">
        <w:rPr>
          <w:rFonts w:ascii="Arial" w:hAnsi="Arial" w:cs="Arial"/>
          <w:color w:val="000000"/>
          <w:lang w:val="cs-CZ"/>
        </w:rPr>
        <w:t xml:space="preserve"> zlepšení spolupráce firem </w:t>
      </w:r>
      <w:r w:rsidR="00942C23">
        <w:rPr>
          <w:rFonts w:ascii="Arial" w:hAnsi="Arial" w:cs="Arial"/>
          <w:color w:val="000000"/>
          <w:lang w:val="cs-CZ"/>
        </w:rPr>
        <w:t>a</w:t>
      </w:r>
      <w:r w:rsidRPr="00187D73">
        <w:rPr>
          <w:rFonts w:ascii="Arial" w:hAnsi="Arial" w:cs="Arial"/>
          <w:color w:val="000000"/>
          <w:lang w:val="cs-CZ"/>
        </w:rPr>
        <w:t>  škol</w:t>
      </w:r>
      <w:r w:rsidR="00942C23">
        <w:rPr>
          <w:rFonts w:ascii="Arial" w:hAnsi="Arial" w:cs="Arial"/>
          <w:color w:val="000000"/>
          <w:lang w:val="cs-CZ"/>
        </w:rPr>
        <w:t xml:space="preserve"> v oblasti odborného vzdělávání. </w:t>
      </w:r>
      <w:r w:rsidRPr="00187D73">
        <w:rPr>
          <w:rFonts w:ascii="Arial" w:hAnsi="Arial" w:cs="Arial"/>
          <w:color w:val="000000"/>
          <w:lang w:val="cs-CZ"/>
        </w:rPr>
        <w:t>Inovativní postupy se</w:t>
      </w:r>
      <w:r w:rsidR="001907CC">
        <w:rPr>
          <w:rFonts w:ascii="Arial" w:hAnsi="Arial" w:cs="Arial"/>
          <w:color w:val="000000"/>
          <w:lang w:val="cs-CZ"/>
        </w:rPr>
        <w:t xml:space="preserve"> pilotně</w:t>
      </w:r>
      <w:r w:rsidRPr="00187D73">
        <w:rPr>
          <w:rFonts w:ascii="Arial" w:hAnsi="Arial" w:cs="Arial"/>
          <w:color w:val="000000"/>
          <w:lang w:val="cs-CZ"/>
        </w:rPr>
        <w:t xml:space="preserve"> ověřovaly v</w:t>
      </w:r>
      <w:r w:rsidR="001907CC">
        <w:rPr>
          <w:rFonts w:ascii="Arial" w:hAnsi="Arial" w:cs="Arial"/>
          <w:color w:val="000000"/>
          <w:lang w:val="cs-CZ"/>
        </w:rPr>
        <w:t xml:space="preserve"> </w:t>
      </w:r>
      <w:r w:rsidR="00942C23">
        <w:rPr>
          <w:rFonts w:ascii="Arial" w:hAnsi="Arial" w:cs="Arial"/>
          <w:color w:val="000000"/>
          <w:lang w:val="cs-CZ"/>
        </w:rPr>
        <w:t>Mo</w:t>
      </w:r>
      <w:r w:rsidRPr="00187D73">
        <w:rPr>
          <w:rFonts w:ascii="Arial" w:hAnsi="Arial" w:cs="Arial"/>
          <w:color w:val="000000"/>
          <w:lang w:val="cs-CZ"/>
        </w:rPr>
        <w:t xml:space="preserve">ravskoslezském, </w:t>
      </w:r>
      <w:r w:rsidR="00942C23">
        <w:rPr>
          <w:rFonts w:ascii="Arial" w:hAnsi="Arial" w:cs="Arial"/>
          <w:color w:val="000000"/>
          <w:lang w:val="cs-CZ"/>
        </w:rPr>
        <w:t>Ú</w:t>
      </w:r>
      <w:r w:rsidRPr="00187D73">
        <w:rPr>
          <w:rFonts w:ascii="Arial" w:hAnsi="Arial" w:cs="Arial"/>
          <w:color w:val="000000"/>
          <w:lang w:val="cs-CZ"/>
        </w:rPr>
        <w:t xml:space="preserve">steckém, </w:t>
      </w:r>
      <w:r w:rsidR="00942C23">
        <w:rPr>
          <w:rFonts w:ascii="Arial" w:hAnsi="Arial" w:cs="Arial"/>
          <w:color w:val="000000"/>
          <w:lang w:val="cs-CZ"/>
        </w:rPr>
        <w:t>Z</w:t>
      </w:r>
      <w:r w:rsidRPr="00187D73">
        <w:rPr>
          <w:rFonts w:ascii="Arial" w:hAnsi="Arial" w:cs="Arial"/>
          <w:color w:val="000000"/>
          <w:lang w:val="cs-CZ"/>
        </w:rPr>
        <w:t xml:space="preserve">línském a </w:t>
      </w:r>
      <w:r w:rsidR="00942C23">
        <w:rPr>
          <w:rFonts w:ascii="Arial" w:hAnsi="Arial" w:cs="Arial"/>
          <w:color w:val="000000"/>
          <w:lang w:val="cs-CZ"/>
        </w:rPr>
        <w:t>S</w:t>
      </w:r>
      <w:r w:rsidRPr="00187D73">
        <w:rPr>
          <w:rFonts w:ascii="Arial" w:hAnsi="Arial" w:cs="Arial"/>
          <w:color w:val="000000"/>
          <w:lang w:val="cs-CZ"/>
        </w:rPr>
        <w:t>tředočeském</w:t>
      </w:r>
      <w:r w:rsidR="001907CC">
        <w:rPr>
          <w:rFonts w:ascii="Arial" w:hAnsi="Arial" w:cs="Arial"/>
          <w:color w:val="000000"/>
          <w:lang w:val="cs-CZ"/>
        </w:rPr>
        <w:t xml:space="preserve"> kraji</w:t>
      </w:r>
      <w:r w:rsidRPr="00187D73">
        <w:rPr>
          <w:rFonts w:ascii="Arial" w:hAnsi="Arial" w:cs="Arial"/>
          <w:color w:val="000000"/>
          <w:lang w:val="cs-CZ"/>
        </w:rPr>
        <w:t xml:space="preserve">. Díky </w:t>
      </w:r>
      <w:r w:rsidR="00942C23">
        <w:rPr>
          <w:rFonts w:ascii="Arial" w:hAnsi="Arial" w:cs="Arial"/>
          <w:color w:val="000000"/>
          <w:lang w:val="cs-CZ"/>
        </w:rPr>
        <w:t xml:space="preserve">zapojení </w:t>
      </w:r>
      <w:r w:rsidRPr="00187D73">
        <w:rPr>
          <w:rFonts w:ascii="Arial" w:hAnsi="Arial" w:cs="Arial"/>
          <w:color w:val="000000"/>
          <w:lang w:val="cs-CZ"/>
        </w:rPr>
        <w:t>Regionální</w:t>
      </w:r>
      <w:r w:rsidR="00942C23">
        <w:rPr>
          <w:rFonts w:ascii="Arial" w:hAnsi="Arial" w:cs="Arial"/>
          <w:color w:val="000000"/>
          <w:lang w:val="cs-CZ"/>
        </w:rPr>
        <w:t>ch</w:t>
      </w:r>
      <w:r w:rsidRPr="00187D73">
        <w:rPr>
          <w:rFonts w:ascii="Arial" w:hAnsi="Arial" w:cs="Arial"/>
          <w:color w:val="000000"/>
          <w:lang w:val="cs-CZ"/>
        </w:rPr>
        <w:t xml:space="preserve"> pakt</w:t>
      </w:r>
      <w:r w:rsidR="00942C23">
        <w:rPr>
          <w:rFonts w:ascii="Arial" w:hAnsi="Arial" w:cs="Arial"/>
          <w:color w:val="000000"/>
          <w:lang w:val="cs-CZ"/>
        </w:rPr>
        <w:t>ů</w:t>
      </w:r>
      <w:r w:rsidRPr="00187D73">
        <w:rPr>
          <w:rFonts w:ascii="Arial" w:hAnsi="Arial" w:cs="Arial"/>
          <w:color w:val="000000"/>
          <w:lang w:val="cs-CZ"/>
        </w:rPr>
        <w:t xml:space="preserve"> zaměstnanosti se podařilo</w:t>
      </w:r>
      <w:r w:rsidR="00942C23">
        <w:rPr>
          <w:rFonts w:ascii="Arial" w:hAnsi="Arial" w:cs="Arial"/>
          <w:color w:val="000000"/>
          <w:lang w:val="cs-CZ"/>
        </w:rPr>
        <w:t xml:space="preserve"> navázat,</w:t>
      </w:r>
      <w:r w:rsidRPr="00187D73">
        <w:rPr>
          <w:rFonts w:ascii="Arial" w:hAnsi="Arial" w:cs="Arial"/>
          <w:color w:val="000000"/>
          <w:lang w:val="cs-CZ"/>
        </w:rPr>
        <w:t xml:space="preserve"> rozvinout</w:t>
      </w:r>
      <w:r w:rsidR="00942C23">
        <w:rPr>
          <w:rFonts w:ascii="Arial" w:hAnsi="Arial" w:cs="Arial"/>
          <w:color w:val="000000"/>
          <w:lang w:val="cs-CZ"/>
        </w:rPr>
        <w:t xml:space="preserve"> a inovovat celkem</w:t>
      </w:r>
      <w:r w:rsidRPr="00187D73">
        <w:rPr>
          <w:rFonts w:ascii="Arial" w:hAnsi="Arial" w:cs="Arial"/>
          <w:color w:val="000000"/>
          <w:lang w:val="cs-CZ"/>
        </w:rPr>
        <w:t xml:space="preserve"> 36 partnerství firem a škol</w:t>
      </w:r>
      <w:r w:rsidR="00D06449">
        <w:rPr>
          <w:rFonts w:ascii="Arial" w:hAnsi="Arial" w:cs="Arial"/>
          <w:color w:val="000000"/>
          <w:lang w:val="cs-CZ"/>
        </w:rPr>
        <w:t xml:space="preserve">, jejichž výsledkem je lepší uplatnitelnost </w:t>
      </w:r>
      <w:r w:rsidR="00D06449" w:rsidRPr="00187D73">
        <w:rPr>
          <w:rFonts w:ascii="Arial" w:hAnsi="Arial" w:cs="Arial"/>
          <w:color w:val="000000"/>
          <w:lang w:val="cs-CZ"/>
        </w:rPr>
        <w:t>absolvent</w:t>
      </w:r>
      <w:r w:rsidR="00D06449">
        <w:rPr>
          <w:rFonts w:ascii="Arial" w:hAnsi="Arial" w:cs="Arial"/>
          <w:color w:val="000000"/>
          <w:lang w:val="cs-CZ"/>
        </w:rPr>
        <w:t>ů (z velké části si</w:t>
      </w:r>
      <w:r w:rsidR="00D06449" w:rsidRPr="00187D73">
        <w:rPr>
          <w:rFonts w:ascii="Arial" w:hAnsi="Arial" w:cs="Arial"/>
          <w:color w:val="000000"/>
          <w:lang w:val="cs-CZ"/>
        </w:rPr>
        <w:t xml:space="preserve"> najdou první zaměstnání ve firmě, se kterou se během odborného výcviku či praxe seznámí</w:t>
      </w:r>
      <w:r w:rsidR="00D06449">
        <w:rPr>
          <w:rFonts w:ascii="Arial" w:hAnsi="Arial" w:cs="Arial"/>
          <w:color w:val="000000"/>
          <w:lang w:val="cs-CZ"/>
        </w:rPr>
        <w:t xml:space="preserve">) a </w:t>
      </w:r>
      <w:r w:rsidR="00D06449" w:rsidRPr="00187D73">
        <w:rPr>
          <w:rFonts w:ascii="Arial" w:hAnsi="Arial" w:cs="Arial"/>
          <w:color w:val="000000"/>
          <w:lang w:val="cs-CZ"/>
        </w:rPr>
        <w:t xml:space="preserve">spolupráce na vzdělávání žáků se </w:t>
      </w:r>
      <w:r w:rsidR="00D06449">
        <w:rPr>
          <w:rFonts w:ascii="Arial" w:hAnsi="Arial" w:cs="Arial"/>
          <w:color w:val="000000"/>
          <w:lang w:val="cs-CZ"/>
        </w:rPr>
        <w:t xml:space="preserve">také </w:t>
      </w:r>
      <w:r w:rsidR="00D06449" w:rsidRPr="00187D73">
        <w:rPr>
          <w:rFonts w:ascii="Arial" w:hAnsi="Arial" w:cs="Arial"/>
          <w:color w:val="000000"/>
          <w:lang w:val="cs-CZ"/>
        </w:rPr>
        <w:t>velmi často mění i na spolupráci ve vzdělávání zaměstnanců firem</w:t>
      </w:r>
      <w:r w:rsidR="00D06449">
        <w:rPr>
          <w:rFonts w:ascii="Arial" w:hAnsi="Arial" w:cs="Arial"/>
          <w:color w:val="000000"/>
          <w:lang w:val="cs-CZ"/>
        </w:rPr>
        <w:t>.</w:t>
      </w:r>
    </w:p>
    <w:p w14:paraId="7F2D07D3" w14:textId="12698B96" w:rsidR="00187D73" w:rsidRDefault="00942C23" w:rsidP="00F86E3E">
      <w:pPr>
        <w:widowControl/>
        <w:spacing w:before="120" w:after="0" w:line="259" w:lineRule="auto"/>
        <w:jc w:val="both"/>
        <w:rPr>
          <w:rFonts w:ascii="Arial" w:hAnsi="Arial" w:cs="Arial"/>
          <w:bCs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V</w:t>
      </w:r>
      <w:r w:rsidR="00D06449">
        <w:rPr>
          <w:rFonts w:ascii="Arial" w:hAnsi="Arial" w:cs="Arial"/>
          <w:color w:val="000000"/>
          <w:lang w:val="cs-CZ"/>
        </w:rPr>
        <w:t> </w:t>
      </w:r>
      <w:r>
        <w:rPr>
          <w:rFonts w:ascii="Arial" w:hAnsi="Arial" w:cs="Arial"/>
          <w:color w:val="000000"/>
          <w:lang w:val="cs-CZ"/>
        </w:rPr>
        <w:t>rámci</w:t>
      </w:r>
      <w:r w:rsidR="00D06449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>této spolupráce vznikly</w:t>
      </w:r>
      <w:r w:rsidR="001907CC">
        <w:rPr>
          <w:rFonts w:ascii="Arial" w:hAnsi="Arial" w:cs="Arial"/>
          <w:color w:val="000000"/>
          <w:lang w:val="cs-CZ"/>
        </w:rPr>
        <w:t xml:space="preserve"> rovněž</w:t>
      </w:r>
      <w:r>
        <w:rPr>
          <w:rFonts w:ascii="Arial" w:hAnsi="Arial" w:cs="Arial"/>
          <w:color w:val="000000"/>
          <w:lang w:val="cs-CZ"/>
        </w:rPr>
        <w:t xml:space="preserve"> </w:t>
      </w:r>
      <w:r w:rsidR="00D06449">
        <w:rPr>
          <w:rFonts w:ascii="Arial" w:hAnsi="Arial" w:cs="Arial"/>
          <w:color w:val="000000"/>
          <w:lang w:val="cs-CZ"/>
        </w:rPr>
        <w:t>volně dostupné</w:t>
      </w:r>
      <w:r w:rsidR="00F86E3E">
        <w:rPr>
          <w:rFonts w:ascii="Arial" w:hAnsi="Arial" w:cs="Arial"/>
          <w:color w:val="000000"/>
          <w:lang w:val="cs-CZ"/>
        </w:rPr>
        <w:t>,</w:t>
      </w:r>
      <w:r w:rsidR="00D06449">
        <w:rPr>
          <w:rFonts w:ascii="Arial" w:hAnsi="Arial" w:cs="Arial"/>
          <w:color w:val="000000"/>
          <w:lang w:val="cs-CZ"/>
        </w:rPr>
        <w:t xml:space="preserve"> </w:t>
      </w:r>
      <w:r>
        <w:rPr>
          <w:rFonts w:ascii="Arial" w:hAnsi="Arial" w:cs="Arial"/>
          <w:color w:val="000000"/>
          <w:lang w:val="cs-CZ"/>
        </w:rPr>
        <w:t xml:space="preserve">užitečné </w:t>
      </w:r>
      <w:r w:rsidR="00F86E3E">
        <w:rPr>
          <w:rFonts w:ascii="Arial" w:hAnsi="Arial" w:cs="Arial"/>
          <w:color w:val="000000"/>
          <w:lang w:val="cs-CZ"/>
        </w:rPr>
        <w:t xml:space="preserve">a praktické </w:t>
      </w:r>
      <w:r>
        <w:rPr>
          <w:rFonts w:ascii="Arial" w:hAnsi="Arial" w:cs="Arial"/>
          <w:color w:val="000000"/>
          <w:lang w:val="cs-CZ"/>
        </w:rPr>
        <w:t>návody</w:t>
      </w:r>
      <w:r w:rsidR="00F86E3E">
        <w:rPr>
          <w:rFonts w:ascii="Arial" w:hAnsi="Arial" w:cs="Arial"/>
          <w:color w:val="000000"/>
          <w:lang w:val="cs-CZ"/>
        </w:rPr>
        <w:t>, postupy</w:t>
      </w:r>
      <w:r>
        <w:rPr>
          <w:rFonts w:ascii="Arial" w:hAnsi="Arial" w:cs="Arial"/>
          <w:color w:val="000000"/>
          <w:lang w:val="cs-CZ"/>
        </w:rPr>
        <w:t xml:space="preserve"> a dokumenty, k nimž patří metodika a průvodce metodikou </w:t>
      </w:r>
      <w:r w:rsidRPr="00942C23">
        <w:rPr>
          <w:rFonts w:ascii="Arial" w:hAnsi="Arial" w:cs="Arial"/>
          <w:b/>
          <w:bCs/>
          <w:color w:val="000000"/>
          <w:lang w:val="cs-CZ"/>
        </w:rPr>
        <w:t>„Jak na spolupráci firem a středních škol aneb praktické postupy a metody“</w:t>
      </w:r>
      <w:r>
        <w:rPr>
          <w:rFonts w:ascii="Arial" w:hAnsi="Arial" w:cs="Arial"/>
          <w:color w:val="000000"/>
          <w:lang w:val="cs-CZ"/>
        </w:rPr>
        <w:t>,</w:t>
      </w:r>
      <w:r w:rsidRPr="00942C23">
        <w:rPr>
          <w:rFonts w:asciiTheme="minorHAnsi" w:eastAsiaTheme="minorHAnsi" w:hAnsiTheme="minorHAnsi" w:cstheme="minorHAnsi"/>
          <w:bCs/>
          <w:lang w:val="cs-CZ"/>
        </w:rPr>
        <w:t xml:space="preserve"> </w:t>
      </w:r>
      <w:r w:rsidRPr="00942C23">
        <w:rPr>
          <w:rFonts w:ascii="Arial" w:hAnsi="Arial" w:cs="Arial"/>
          <w:bCs/>
          <w:color w:val="000000"/>
          <w:lang w:val="cs-CZ"/>
        </w:rPr>
        <w:t>Standard praxe</w:t>
      </w:r>
      <w:r>
        <w:rPr>
          <w:rFonts w:ascii="Arial" w:hAnsi="Arial" w:cs="Arial"/>
          <w:bCs/>
          <w:color w:val="000000"/>
          <w:lang w:val="cs-CZ"/>
        </w:rPr>
        <w:t xml:space="preserve"> „</w:t>
      </w:r>
      <w:r w:rsidRPr="00942C23">
        <w:rPr>
          <w:rFonts w:ascii="Arial" w:hAnsi="Arial" w:cs="Arial"/>
          <w:b/>
          <w:color w:val="000000"/>
          <w:lang w:val="cs-CZ"/>
        </w:rPr>
        <w:t>Jak na spolupráci firem a středních škol aneb praktický kontrolní list</w:t>
      </w:r>
      <w:r>
        <w:rPr>
          <w:rFonts w:ascii="Arial" w:hAnsi="Arial" w:cs="Arial"/>
          <w:b/>
          <w:color w:val="000000"/>
          <w:lang w:val="cs-CZ"/>
        </w:rPr>
        <w:t>“</w:t>
      </w:r>
      <w:r>
        <w:rPr>
          <w:rFonts w:ascii="Arial" w:hAnsi="Arial" w:cs="Arial"/>
          <w:color w:val="000000"/>
          <w:lang w:val="cs-CZ"/>
        </w:rPr>
        <w:t xml:space="preserve"> nebo také </w:t>
      </w:r>
      <w:r w:rsidR="00D06449">
        <w:rPr>
          <w:rFonts w:ascii="Arial" w:hAnsi="Arial" w:cs="Arial"/>
          <w:bCs/>
          <w:color w:val="000000"/>
          <w:lang w:val="cs-CZ"/>
        </w:rPr>
        <w:t>s</w:t>
      </w:r>
      <w:r w:rsidRPr="00942C23">
        <w:rPr>
          <w:rFonts w:ascii="Arial" w:hAnsi="Arial" w:cs="Arial"/>
          <w:bCs/>
          <w:color w:val="000000"/>
          <w:lang w:val="cs-CZ"/>
        </w:rPr>
        <w:t>borník příkladů dobré praxe</w:t>
      </w:r>
      <w:r w:rsidR="00D06449">
        <w:rPr>
          <w:rFonts w:ascii="Arial" w:hAnsi="Arial" w:cs="Arial"/>
          <w:bCs/>
          <w:color w:val="000000"/>
          <w:lang w:val="cs-CZ"/>
        </w:rPr>
        <w:t xml:space="preserve"> „</w:t>
      </w:r>
      <w:r w:rsidRPr="00942C23">
        <w:rPr>
          <w:rFonts w:ascii="Arial" w:hAnsi="Arial" w:cs="Arial"/>
          <w:b/>
          <w:color w:val="000000"/>
          <w:lang w:val="cs-CZ"/>
        </w:rPr>
        <w:t xml:space="preserve">Jak na spolupráci firem a středních škol aneb </w:t>
      </w:r>
      <w:r w:rsidR="003C3E5B">
        <w:rPr>
          <w:rFonts w:ascii="Arial" w:hAnsi="Arial" w:cs="Arial"/>
          <w:b/>
          <w:color w:val="000000"/>
          <w:lang w:val="cs-CZ"/>
        </w:rPr>
        <w:t>p</w:t>
      </w:r>
      <w:r w:rsidRPr="00942C23">
        <w:rPr>
          <w:rFonts w:ascii="Arial" w:hAnsi="Arial" w:cs="Arial"/>
          <w:b/>
          <w:color w:val="000000"/>
          <w:lang w:val="cs-CZ"/>
        </w:rPr>
        <w:t>říklady dobré praxe</w:t>
      </w:r>
      <w:r w:rsidR="00D06449">
        <w:rPr>
          <w:rFonts w:ascii="Arial" w:hAnsi="Arial" w:cs="Arial"/>
          <w:b/>
          <w:color w:val="000000"/>
          <w:lang w:val="cs-CZ"/>
        </w:rPr>
        <w:t>“</w:t>
      </w:r>
      <w:r w:rsidR="00D06449">
        <w:rPr>
          <w:rFonts w:ascii="Arial" w:hAnsi="Arial" w:cs="Arial"/>
          <w:bCs/>
          <w:color w:val="000000"/>
          <w:lang w:val="cs-CZ"/>
        </w:rPr>
        <w:t>.</w:t>
      </w:r>
    </w:p>
    <w:p w14:paraId="4914C822" w14:textId="77777777" w:rsidR="00F86E3E" w:rsidRPr="00187D73" w:rsidRDefault="00F86E3E" w:rsidP="00F86E3E">
      <w:pPr>
        <w:widowControl/>
        <w:spacing w:after="0" w:line="259" w:lineRule="auto"/>
        <w:jc w:val="both"/>
        <w:rPr>
          <w:rFonts w:ascii="Arial" w:hAnsi="Arial" w:cs="Arial"/>
          <w:color w:val="000000"/>
          <w:lang w:val="cs-CZ"/>
        </w:rPr>
      </w:pPr>
    </w:p>
    <w:p w14:paraId="6934A122" w14:textId="77777777" w:rsidR="00187D73" w:rsidRPr="00187D73" w:rsidRDefault="00187D73" w:rsidP="00F86E3E">
      <w:pPr>
        <w:widowControl/>
        <w:spacing w:after="120" w:line="259" w:lineRule="auto"/>
        <w:jc w:val="both"/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</w:pPr>
      <w:r w:rsidRPr="00187D73"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  <w:t>Stanovení prioritních sektorů z pohledu dopadů Průmyslu 4.0, vytvoření pracovních skupin</w:t>
      </w:r>
    </w:p>
    <w:p w14:paraId="1F91F22E" w14:textId="37787B94" w:rsidR="00187D73" w:rsidRPr="00187D73" w:rsidRDefault="00D06449" w:rsidP="00D06449">
      <w:pPr>
        <w:widowControl/>
        <w:spacing w:before="120" w:after="120" w:line="259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Po provedení </w:t>
      </w:r>
      <w:r w:rsidR="00187D73" w:rsidRPr="00187D73">
        <w:rPr>
          <w:rFonts w:ascii="Arial" w:hAnsi="Arial" w:cs="Arial"/>
          <w:color w:val="000000"/>
          <w:lang w:val="cs-CZ"/>
        </w:rPr>
        <w:t>rozsáhl</w:t>
      </w:r>
      <w:r>
        <w:rPr>
          <w:rFonts w:ascii="Arial" w:hAnsi="Arial" w:cs="Arial"/>
          <w:color w:val="000000"/>
          <w:lang w:val="cs-CZ"/>
        </w:rPr>
        <w:t>é</w:t>
      </w:r>
      <w:r w:rsidR="00187D73" w:rsidRPr="00187D73">
        <w:rPr>
          <w:rFonts w:ascii="Arial" w:hAnsi="Arial" w:cs="Arial"/>
          <w:color w:val="000000"/>
          <w:lang w:val="cs-CZ"/>
        </w:rPr>
        <w:t xml:space="preserve"> analýz</w:t>
      </w:r>
      <w:r>
        <w:rPr>
          <w:rFonts w:ascii="Arial" w:hAnsi="Arial" w:cs="Arial"/>
          <w:color w:val="000000"/>
          <w:lang w:val="cs-CZ"/>
        </w:rPr>
        <w:t>y</w:t>
      </w:r>
      <w:r w:rsidR="00187D73" w:rsidRPr="00187D73">
        <w:rPr>
          <w:rFonts w:ascii="Arial" w:hAnsi="Arial" w:cs="Arial"/>
          <w:color w:val="000000"/>
          <w:lang w:val="cs-CZ"/>
        </w:rPr>
        <w:t xml:space="preserve"> dat a odborných zdrojů </w:t>
      </w:r>
      <w:r>
        <w:rPr>
          <w:rFonts w:ascii="Arial" w:hAnsi="Arial" w:cs="Arial"/>
          <w:color w:val="000000"/>
          <w:lang w:val="cs-CZ"/>
        </w:rPr>
        <w:t>a</w:t>
      </w:r>
      <w:r w:rsidR="00187D73" w:rsidRPr="00187D73">
        <w:rPr>
          <w:rFonts w:ascii="Arial" w:hAnsi="Arial" w:cs="Arial"/>
          <w:color w:val="000000"/>
          <w:lang w:val="cs-CZ"/>
        </w:rPr>
        <w:t xml:space="preserve"> séri</w:t>
      </w:r>
      <w:r>
        <w:rPr>
          <w:rFonts w:ascii="Arial" w:hAnsi="Arial" w:cs="Arial"/>
          <w:color w:val="000000"/>
          <w:lang w:val="cs-CZ"/>
        </w:rPr>
        <w:t>i</w:t>
      </w:r>
      <w:r w:rsidR="00187D73" w:rsidRPr="00187D73">
        <w:rPr>
          <w:rFonts w:ascii="Arial" w:hAnsi="Arial" w:cs="Arial"/>
          <w:color w:val="000000"/>
          <w:lang w:val="cs-CZ"/>
        </w:rPr>
        <w:t xml:space="preserve"> rozhovorů s předními českými odborníky byly identifikovány sektory a oblasti nejvíce ovlivněné a dotčené Průmyslem 4.0. Jedná se o </w:t>
      </w:r>
      <w:r>
        <w:rPr>
          <w:rFonts w:ascii="Arial" w:hAnsi="Arial" w:cs="Arial"/>
          <w:color w:val="000000"/>
          <w:lang w:val="cs-CZ"/>
        </w:rPr>
        <w:t xml:space="preserve">obory </w:t>
      </w:r>
      <w:r w:rsidR="00187D73" w:rsidRPr="00187D73">
        <w:rPr>
          <w:rFonts w:ascii="Arial" w:hAnsi="Arial" w:cs="Arial"/>
          <w:b/>
          <w:bCs/>
          <w:lang w:val="cs-CZ"/>
        </w:rPr>
        <w:t>Elektromobilita</w:t>
      </w:r>
      <w:r>
        <w:rPr>
          <w:rFonts w:ascii="Arial" w:hAnsi="Arial" w:cs="Arial"/>
          <w:lang w:val="cs-CZ"/>
        </w:rPr>
        <w:t xml:space="preserve">, </w:t>
      </w:r>
      <w:r w:rsidR="00187D73" w:rsidRPr="00187D73">
        <w:rPr>
          <w:rFonts w:ascii="Arial" w:hAnsi="Arial" w:cs="Arial"/>
          <w:b/>
          <w:bCs/>
          <w:lang w:val="cs-CZ"/>
        </w:rPr>
        <w:t>Energetika</w:t>
      </w:r>
      <w:r>
        <w:rPr>
          <w:rFonts w:ascii="Arial" w:hAnsi="Arial" w:cs="Arial"/>
          <w:lang w:val="cs-CZ"/>
        </w:rPr>
        <w:t xml:space="preserve">, </w:t>
      </w:r>
      <w:r w:rsidR="00187D73" w:rsidRPr="00187D73">
        <w:rPr>
          <w:rFonts w:ascii="Arial" w:hAnsi="Arial" w:cs="Arial"/>
          <w:b/>
          <w:bCs/>
          <w:lang w:val="cs-CZ"/>
        </w:rPr>
        <w:t>Informační a komunikační technologie a kybernetická bezpečnost</w:t>
      </w:r>
      <w:r>
        <w:rPr>
          <w:rFonts w:ascii="Arial" w:hAnsi="Arial" w:cs="Arial"/>
          <w:lang w:val="cs-CZ"/>
        </w:rPr>
        <w:t xml:space="preserve">, </w:t>
      </w:r>
      <w:r w:rsidR="00187D73" w:rsidRPr="00187D73">
        <w:rPr>
          <w:rFonts w:ascii="Arial" w:hAnsi="Arial" w:cs="Arial"/>
          <w:b/>
          <w:bCs/>
          <w:lang w:val="cs-CZ"/>
        </w:rPr>
        <w:t>Průmyslová chemie</w:t>
      </w:r>
      <w:r>
        <w:rPr>
          <w:rFonts w:ascii="Arial" w:hAnsi="Arial" w:cs="Arial"/>
          <w:lang w:val="cs-CZ"/>
        </w:rPr>
        <w:t xml:space="preserve">, </w:t>
      </w:r>
      <w:r w:rsidR="00187D73" w:rsidRPr="00187D73">
        <w:rPr>
          <w:rFonts w:ascii="Arial" w:hAnsi="Arial" w:cs="Arial"/>
          <w:b/>
          <w:bCs/>
          <w:lang w:val="cs-CZ"/>
        </w:rPr>
        <w:t>Kreativní průmysl se zaměřením na herní průmysl</w:t>
      </w:r>
      <w:r>
        <w:rPr>
          <w:rFonts w:ascii="Arial" w:hAnsi="Arial" w:cs="Arial"/>
          <w:lang w:val="cs-CZ"/>
        </w:rPr>
        <w:t xml:space="preserve">, </w:t>
      </w:r>
      <w:r w:rsidR="00187D73" w:rsidRPr="00187D73">
        <w:rPr>
          <w:rFonts w:ascii="Arial" w:hAnsi="Arial" w:cs="Arial"/>
          <w:b/>
          <w:bCs/>
          <w:lang w:val="cs-CZ"/>
        </w:rPr>
        <w:t>Logistika se zaměřením na skladování</w:t>
      </w:r>
      <w:r>
        <w:rPr>
          <w:rFonts w:ascii="Arial" w:hAnsi="Arial" w:cs="Arial"/>
          <w:lang w:val="cs-CZ"/>
        </w:rPr>
        <w:t xml:space="preserve">, </w:t>
      </w:r>
      <w:r w:rsidR="00187D73" w:rsidRPr="00187D73">
        <w:rPr>
          <w:rFonts w:ascii="Arial" w:hAnsi="Arial" w:cs="Arial"/>
          <w:b/>
          <w:bCs/>
          <w:lang w:val="cs-CZ"/>
        </w:rPr>
        <w:t>Moderní průmyslová strojírenská výroba</w:t>
      </w:r>
      <w:r>
        <w:rPr>
          <w:rFonts w:ascii="Arial" w:hAnsi="Arial" w:cs="Arial"/>
          <w:lang w:val="cs-CZ"/>
        </w:rPr>
        <w:t xml:space="preserve">, </w:t>
      </w:r>
      <w:r w:rsidR="00187D73" w:rsidRPr="00187D73">
        <w:rPr>
          <w:rFonts w:ascii="Arial" w:hAnsi="Arial" w:cs="Arial"/>
          <w:b/>
          <w:bCs/>
          <w:lang w:val="cs-CZ"/>
        </w:rPr>
        <w:t>Potravinářství</w:t>
      </w:r>
      <w:r>
        <w:rPr>
          <w:rFonts w:ascii="Arial" w:hAnsi="Arial" w:cs="Arial"/>
          <w:lang w:val="cs-CZ"/>
        </w:rPr>
        <w:t xml:space="preserve">, </w:t>
      </w:r>
      <w:r w:rsidR="00187D73" w:rsidRPr="00187D73">
        <w:rPr>
          <w:rFonts w:ascii="Arial" w:hAnsi="Arial" w:cs="Arial"/>
          <w:b/>
          <w:bCs/>
          <w:lang w:val="cs-CZ"/>
        </w:rPr>
        <w:t>Stavebnictví</w:t>
      </w:r>
      <w:r>
        <w:rPr>
          <w:rFonts w:ascii="Arial" w:hAnsi="Arial" w:cs="Arial"/>
          <w:lang w:val="cs-CZ"/>
        </w:rPr>
        <w:t xml:space="preserve"> a </w:t>
      </w:r>
      <w:r w:rsidRPr="00D06449">
        <w:rPr>
          <w:rFonts w:ascii="Arial" w:hAnsi="Arial" w:cs="Arial"/>
          <w:b/>
          <w:bCs/>
          <w:lang w:val="cs-CZ"/>
        </w:rPr>
        <w:t>V</w:t>
      </w:r>
      <w:r w:rsidR="00187D73" w:rsidRPr="00187D73">
        <w:rPr>
          <w:rFonts w:ascii="Arial" w:hAnsi="Arial" w:cs="Arial"/>
          <w:b/>
          <w:bCs/>
          <w:lang w:val="cs-CZ"/>
        </w:rPr>
        <w:t>elko/maloobchod (e-commerce)</w:t>
      </w:r>
      <w:r>
        <w:rPr>
          <w:rFonts w:ascii="Arial" w:hAnsi="Arial" w:cs="Arial"/>
          <w:lang w:val="cs-CZ"/>
        </w:rPr>
        <w:t>.</w:t>
      </w:r>
    </w:p>
    <w:p w14:paraId="3D0497B1" w14:textId="1ADECDC5" w:rsidR="00187D73" w:rsidRPr="00187D73" w:rsidRDefault="00D06449" w:rsidP="00F86E3E">
      <w:pPr>
        <w:widowControl/>
        <w:spacing w:before="120" w:after="0" w:line="259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 xml:space="preserve">V těchto sektorech byly ustaveny </w:t>
      </w:r>
      <w:r w:rsidR="00EB3F9E">
        <w:rPr>
          <w:rFonts w:ascii="Arial" w:hAnsi="Arial" w:cs="Arial"/>
          <w:b/>
          <w:bCs/>
          <w:color w:val="000000"/>
          <w:lang w:val="cs-CZ"/>
        </w:rPr>
        <w:t>I</w:t>
      </w:r>
      <w:r w:rsidR="00187D73" w:rsidRPr="00187D73">
        <w:rPr>
          <w:rFonts w:ascii="Arial" w:hAnsi="Arial" w:cs="Arial"/>
          <w:b/>
          <w:bCs/>
          <w:color w:val="000000"/>
          <w:lang w:val="cs-CZ"/>
        </w:rPr>
        <w:t>nova</w:t>
      </w:r>
      <w:r w:rsidR="00EB3F9E">
        <w:rPr>
          <w:rFonts w:ascii="Arial" w:hAnsi="Arial" w:cs="Arial"/>
          <w:b/>
          <w:bCs/>
          <w:color w:val="000000"/>
          <w:lang w:val="cs-CZ"/>
        </w:rPr>
        <w:t xml:space="preserve">ční </w:t>
      </w:r>
      <w:r w:rsidR="00187D73" w:rsidRPr="00187D73">
        <w:rPr>
          <w:rFonts w:ascii="Arial" w:hAnsi="Arial" w:cs="Arial"/>
          <w:b/>
          <w:bCs/>
          <w:color w:val="000000"/>
          <w:lang w:val="cs-CZ"/>
        </w:rPr>
        <w:t>pracovní skupin</w:t>
      </w:r>
      <w:r>
        <w:rPr>
          <w:rFonts w:ascii="Arial" w:hAnsi="Arial" w:cs="Arial"/>
          <w:b/>
          <w:bCs/>
          <w:color w:val="000000"/>
          <w:lang w:val="cs-CZ"/>
        </w:rPr>
        <w:t>y</w:t>
      </w:r>
      <w:r w:rsidR="00187D73" w:rsidRPr="00187D73">
        <w:rPr>
          <w:rFonts w:ascii="Arial" w:hAnsi="Arial" w:cs="Arial"/>
          <w:color w:val="000000"/>
          <w:lang w:val="cs-CZ"/>
        </w:rPr>
        <w:t xml:space="preserve">, </w:t>
      </w:r>
      <w:r>
        <w:rPr>
          <w:rFonts w:ascii="Arial" w:hAnsi="Arial" w:cs="Arial"/>
          <w:color w:val="000000"/>
          <w:lang w:val="cs-CZ"/>
        </w:rPr>
        <w:t>složené z </w:t>
      </w:r>
      <w:r w:rsidR="00187D73" w:rsidRPr="00187D73">
        <w:rPr>
          <w:rFonts w:ascii="Arial" w:hAnsi="Arial" w:cs="Arial"/>
          <w:color w:val="000000"/>
          <w:lang w:val="cs-CZ"/>
        </w:rPr>
        <w:t>12</w:t>
      </w:r>
      <w:r>
        <w:rPr>
          <w:rFonts w:ascii="Arial" w:hAnsi="Arial" w:cs="Arial"/>
          <w:color w:val="000000"/>
          <w:lang w:val="cs-CZ"/>
        </w:rPr>
        <w:t xml:space="preserve"> až</w:t>
      </w:r>
      <w:r w:rsidR="00187D73" w:rsidRPr="00187D73">
        <w:rPr>
          <w:rFonts w:ascii="Arial" w:hAnsi="Arial" w:cs="Arial"/>
          <w:color w:val="000000"/>
          <w:lang w:val="cs-CZ"/>
        </w:rPr>
        <w:t xml:space="preserve"> 15 </w:t>
      </w:r>
      <w:r w:rsidR="003B4F13">
        <w:rPr>
          <w:rFonts w:ascii="Arial" w:hAnsi="Arial" w:cs="Arial"/>
          <w:color w:val="000000"/>
          <w:lang w:val="cs-CZ"/>
        </w:rPr>
        <w:t>odborníků</w:t>
      </w:r>
      <w:r>
        <w:rPr>
          <w:rFonts w:ascii="Arial" w:hAnsi="Arial" w:cs="Arial"/>
          <w:color w:val="000000"/>
          <w:lang w:val="cs-CZ"/>
        </w:rPr>
        <w:t xml:space="preserve"> z řad </w:t>
      </w:r>
      <w:r w:rsidR="00187D73" w:rsidRPr="00187D73">
        <w:rPr>
          <w:rFonts w:ascii="Arial" w:hAnsi="Arial" w:cs="Arial"/>
          <w:color w:val="000000"/>
          <w:lang w:val="cs-CZ"/>
        </w:rPr>
        <w:t>zástupc</w:t>
      </w:r>
      <w:r>
        <w:rPr>
          <w:rFonts w:ascii="Arial" w:hAnsi="Arial" w:cs="Arial"/>
          <w:color w:val="000000"/>
          <w:lang w:val="cs-CZ"/>
        </w:rPr>
        <w:t>ů</w:t>
      </w:r>
      <w:r w:rsidR="00187D73" w:rsidRPr="00187D73">
        <w:rPr>
          <w:rFonts w:ascii="Arial" w:hAnsi="Arial" w:cs="Arial"/>
          <w:color w:val="000000"/>
          <w:lang w:val="cs-CZ"/>
        </w:rPr>
        <w:t xml:space="preserve"> velkých i menších firem, středních škol, vysokých škol, výzkumných pracovišť</w:t>
      </w:r>
      <w:r w:rsidR="001907CC">
        <w:rPr>
          <w:rFonts w:ascii="Arial" w:hAnsi="Arial" w:cs="Arial"/>
          <w:color w:val="000000"/>
          <w:lang w:val="cs-CZ"/>
        </w:rPr>
        <w:t>,</w:t>
      </w:r>
      <w:r w:rsidR="00187D73" w:rsidRPr="00187D73">
        <w:rPr>
          <w:rFonts w:ascii="Arial" w:hAnsi="Arial" w:cs="Arial"/>
          <w:color w:val="000000"/>
          <w:lang w:val="cs-CZ"/>
        </w:rPr>
        <w:t xml:space="preserve"> atd. </w:t>
      </w:r>
    </w:p>
    <w:p w14:paraId="10B1D2E4" w14:textId="77777777" w:rsidR="00F86E3E" w:rsidRDefault="00F86E3E" w:rsidP="00F86E3E">
      <w:pPr>
        <w:widowControl/>
        <w:spacing w:after="0" w:line="259" w:lineRule="auto"/>
        <w:jc w:val="both"/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</w:pPr>
      <w:bookmarkStart w:id="1" w:name="_Hlk120623819"/>
    </w:p>
    <w:p w14:paraId="452D960C" w14:textId="428F5B64" w:rsidR="00D06449" w:rsidRPr="00D06449" w:rsidRDefault="00D06449" w:rsidP="00F86E3E">
      <w:pPr>
        <w:widowControl/>
        <w:spacing w:after="120" w:line="259" w:lineRule="auto"/>
        <w:jc w:val="both"/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</w:pPr>
      <w:r w:rsidRPr="00D06449"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  <w:t>Nástroj New Skills Monitor</w:t>
      </w:r>
    </w:p>
    <w:bookmarkEnd w:id="1"/>
    <w:p w14:paraId="453CEB2F" w14:textId="453E569A" w:rsidR="00187D73" w:rsidRDefault="001907CC" w:rsidP="00F86E3E">
      <w:pPr>
        <w:widowControl/>
        <w:spacing w:before="120" w:after="0" w:line="259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t>Následně b</w:t>
      </w:r>
      <w:r w:rsidR="00D06449" w:rsidRPr="00D06449">
        <w:rPr>
          <w:rFonts w:ascii="Arial" w:hAnsi="Arial" w:cs="Arial"/>
          <w:color w:val="000000"/>
          <w:lang w:val="cs-CZ"/>
        </w:rPr>
        <w:t>ylo potřeba</w:t>
      </w:r>
      <w:r w:rsidR="00187D73" w:rsidRPr="00187D73">
        <w:rPr>
          <w:rFonts w:ascii="Arial" w:hAnsi="Arial" w:cs="Arial"/>
          <w:color w:val="000000"/>
          <w:lang w:val="cs-CZ"/>
        </w:rPr>
        <w:t xml:space="preserve"> </w:t>
      </w:r>
      <w:r w:rsidR="00D06449">
        <w:rPr>
          <w:rFonts w:ascii="Arial" w:hAnsi="Arial" w:cs="Arial"/>
          <w:color w:val="000000"/>
          <w:lang w:val="cs-CZ"/>
        </w:rPr>
        <w:t xml:space="preserve">navrhnout </w:t>
      </w:r>
      <w:r w:rsidR="00187D73" w:rsidRPr="00187D73">
        <w:rPr>
          <w:rFonts w:ascii="Arial" w:hAnsi="Arial" w:cs="Arial"/>
          <w:color w:val="000000"/>
          <w:lang w:val="cs-CZ"/>
        </w:rPr>
        <w:t>mechanism</w:t>
      </w:r>
      <w:r w:rsidR="00D06449">
        <w:rPr>
          <w:rFonts w:ascii="Arial" w:hAnsi="Arial" w:cs="Arial"/>
          <w:color w:val="000000"/>
          <w:lang w:val="cs-CZ"/>
        </w:rPr>
        <w:t>y</w:t>
      </w:r>
      <w:r w:rsidR="00187D73" w:rsidRPr="00187D73">
        <w:rPr>
          <w:rFonts w:ascii="Arial" w:hAnsi="Arial" w:cs="Arial"/>
          <w:color w:val="000000"/>
          <w:lang w:val="cs-CZ"/>
        </w:rPr>
        <w:t xml:space="preserve">, jak s předstihem pojmenovat dovednosti, které bude trh práce vyžadovat v blízké budoucnosti. Jde o to, aby odborné vzdělávání včetně rekvalifikací </w:t>
      </w:r>
      <w:r>
        <w:rPr>
          <w:rFonts w:ascii="Arial" w:hAnsi="Arial" w:cs="Arial"/>
          <w:color w:val="000000"/>
          <w:lang w:val="cs-CZ"/>
        </w:rPr>
        <w:t>neustále</w:t>
      </w:r>
      <w:r w:rsidR="00187D73" w:rsidRPr="00187D73">
        <w:rPr>
          <w:rFonts w:ascii="Arial" w:hAnsi="Arial" w:cs="Arial"/>
          <w:color w:val="000000"/>
          <w:lang w:val="cs-CZ"/>
        </w:rPr>
        <w:t xml:space="preserve"> jen nedohánělo potřeby zaměstnavatelů. Vzdělávání by naopak mělo lidi připravovat na budoucnost, musí</w:t>
      </w:r>
      <w:r w:rsidR="003C3E5B">
        <w:rPr>
          <w:rFonts w:ascii="Arial" w:hAnsi="Arial" w:cs="Arial"/>
          <w:color w:val="000000"/>
          <w:lang w:val="cs-CZ"/>
        </w:rPr>
        <w:t>me</w:t>
      </w:r>
      <w:r w:rsidR="00187D73" w:rsidRPr="00187D73">
        <w:rPr>
          <w:rFonts w:ascii="Arial" w:hAnsi="Arial" w:cs="Arial"/>
          <w:color w:val="000000"/>
          <w:lang w:val="cs-CZ"/>
        </w:rPr>
        <w:t xml:space="preserve"> se tedy </w:t>
      </w:r>
      <w:r w:rsidR="00F86E3E">
        <w:rPr>
          <w:rFonts w:ascii="Arial" w:hAnsi="Arial" w:cs="Arial"/>
          <w:color w:val="000000"/>
          <w:lang w:val="cs-CZ"/>
        </w:rPr>
        <w:t xml:space="preserve">již nyní </w:t>
      </w:r>
      <w:r w:rsidR="00187D73" w:rsidRPr="00187D73">
        <w:rPr>
          <w:rFonts w:ascii="Arial" w:hAnsi="Arial" w:cs="Arial"/>
          <w:color w:val="000000"/>
          <w:lang w:val="cs-CZ"/>
        </w:rPr>
        <w:t>do budoucnosti</w:t>
      </w:r>
      <w:r>
        <w:rPr>
          <w:rFonts w:ascii="Arial" w:hAnsi="Arial" w:cs="Arial"/>
          <w:color w:val="000000"/>
          <w:lang w:val="cs-CZ"/>
        </w:rPr>
        <w:t xml:space="preserve"> dívat</w:t>
      </w:r>
      <w:r w:rsidR="00187D73" w:rsidRPr="00187D73">
        <w:rPr>
          <w:rFonts w:ascii="Arial" w:hAnsi="Arial" w:cs="Arial"/>
          <w:color w:val="000000"/>
          <w:lang w:val="cs-CZ"/>
        </w:rPr>
        <w:t>.</w:t>
      </w:r>
      <w:r w:rsidR="00F86E3E">
        <w:rPr>
          <w:rFonts w:ascii="Arial" w:hAnsi="Arial" w:cs="Arial"/>
          <w:color w:val="000000"/>
          <w:lang w:val="cs-CZ"/>
        </w:rPr>
        <w:t xml:space="preserve"> </w:t>
      </w:r>
      <w:r w:rsidR="00187D73" w:rsidRPr="00187D73">
        <w:rPr>
          <w:rFonts w:ascii="Arial" w:hAnsi="Arial" w:cs="Arial"/>
          <w:color w:val="000000"/>
          <w:lang w:val="cs-CZ"/>
        </w:rPr>
        <w:t>Proto byl vytvořen nástroj</w:t>
      </w:r>
      <w:r w:rsidR="00187D73" w:rsidRPr="00187D73">
        <w:rPr>
          <w:rFonts w:ascii="Arial" w:hAnsi="Arial" w:cs="Arial"/>
          <w:b/>
          <w:bCs/>
          <w:color w:val="000000"/>
          <w:lang w:val="cs-CZ"/>
        </w:rPr>
        <w:t xml:space="preserve"> New Skills Monitor</w:t>
      </w:r>
      <w:r w:rsidR="00187D73" w:rsidRPr="00187D73">
        <w:rPr>
          <w:rFonts w:ascii="Arial" w:hAnsi="Arial" w:cs="Arial"/>
          <w:color w:val="000000"/>
          <w:lang w:val="cs-CZ"/>
        </w:rPr>
        <w:t xml:space="preserve">, pomocí kterého experti pojmenovali </w:t>
      </w:r>
      <w:r w:rsidR="00187D73" w:rsidRPr="00187D73">
        <w:rPr>
          <w:rFonts w:ascii="Arial" w:hAnsi="Arial" w:cs="Arial"/>
          <w:b/>
          <w:bCs/>
          <w:color w:val="000000"/>
          <w:lang w:val="cs-CZ"/>
        </w:rPr>
        <w:t xml:space="preserve">klíčové trendy </w:t>
      </w:r>
      <w:r w:rsidR="00187D73" w:rsidRPr="00187D73">
        <w:rPr>
          <w:rFonts w:ascii="Arial" w:hAnsi="Arial" w:cs="Arial"/>
          <w:color w:val="000000"/>
          <w:lang w:val="cs-CZ"/>
        </w:rPr>
        <w:t>ve všech 10 vybraných sektorech</w:t>
      </w:r>
      <w:r w:rsidR="00187D73" w:rsidRPr="00187D73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="00187D73" w:rsidRPr="00187D73">
        <w:rPr>
          <w:rFonts w:ascii="Arial" w:hAnsi="Arial" w:cs="Arial"/>
          <w:color w:val="000000"/>
          <w:lang w:val="cs-CZ"/>
        </w:rPr>
        <w:t>a následně</w:t>
      </w:r>
      <w:r w:rsidR="00187D73" w:rsidRPr="00187D73">
        <w:rPr>
          <w:rFonts w:ascii="Arial" w:hAnsi="Arial" w:cs="Arial"/>
          <w:b/>
          <w:bCs/>
          <w:color w:val="000000"/>
          <w:lang w:val="cs-CZ"/>
        </w:rPr>
        <w:t xml:space="preserve"> identifikovali související nové dovednosti</w:t>
      </w:r>
      <w:r w:rsidR="00187D73" w:rsidRPr="00187D73">
        <w:rPr>
          <w:rFonts w:ascii="Arial" w:hAnsi="Arial" w:cs="Arial"/>
          <w:color w:val="000000"/>
          <w:lang w:val="cs-CZ"/>
        </w:rPr>
        <w:t>. Těch</w:t>
      </w:r>
      <w:r w:rsidR="00F86E3E">
        <w:rPr>
          <w:rFonts w:ascii="Arial" w:hAnsi="Arial" w:cs="Arial"/>
          <w:color w:val="000000"/>
          <w:lang w:val="cs-CZ"/>
        </w:rPr>
        <w:t xml:space="preserve"> se v New Skills Monitoru nachází více než </w:t>
      </w:r>
      <w:r w:rsidR="00187D73" w:rsidRPr="00187D73">
        <w:rPr>
          <w:rFonts w:ascii="Arial" w:hAnsi="Arial" w:cs="Arial"/>
          <w:b/>
          <w:bCs/>
          <w:color w:val="000000"/>
          <w:lang w:val="cs-CZ"/>
        </w:rPr>
        <w:t>1</w:t>
      </w:r>
      <w:r w:rsidR="00F86E3E">
        <w:rPr>
          <w:rFonts w:ascii="Arial" w:hAnsi="Arial" w:cs="Arial"/>
          <w:b/>
          <w:bCs/>
          <w:color w:val="000000"/>
          <w:lang w:val="cs-CZ"/>
        </w:rPr>
        <w:t> </w:t>
      </w:r>
      <w:r w:rsidR="00187D73" w:rsidRPr="00187D73">
        <w:rPr>
          <w:rFonts w:ascii="Arial" w:hAnsi="Arial" w:cs="Arial"/>
          <w:b/>
          <w:bCs/>
          <w:color w:val="000000"/>
          <w:lang w:val="cs-CZ"/>
        </w:rPr>
        <w:t>700</w:t>
      </w:r>
      <w:r w:rsidR="00187D73" w:rsidRPr="00187D73">
        <w:rPr>
          <w:rFonts w:ascii="Arial" w:hAnsi="Arial" w:cs="Arial"/>
          <w:color w:val="000000"/>
          <w:lang w:val="cs-CZ"/>
        </w:rPr>
        <w:t>.</w:t>
      </w:r>
    </w:p>
    <w:p w14:paraId="44C66E18" w14:textId="77777777" w:rsidR="00F86E3E" w:rsidRDefault="00F86E3E" w:rsidP="00F86E3E">
      <w:pPr>
        <w:widowControl/>
        <w:spacing w:after="0" w:line="259" w:lineRule="auto"/>
        <w:jc w:val="both"/>
        <w:rPr>
          <w:rFonts w:ascii="Arial" w:hAnsi="Arial" w:cs="Arial"/>
          <w:color w:val="000000"/>
          <w:lang w:val="cs-CZ"/>
        </w:rPr>
      </w:pPr>
    </w:p>
    <w:p w14:paraId="7D7D344F" w14:textId="77777777" w:rsidR="00F86E3E" w:rsidRDefault="00F86E3E" w:rsidP="00F86E3E">
      <w:pPr>
        <w:widowControl/>
        <w:spacing w:after="120" w:line="259" w:lineRule="auto"/>
        <w:jc w:val="both"/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</w:pPr>
      <w:r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  <w:t xml:space="preserve">Kompetenční pyramidy a popisy širokých povolání </w:t>
      </w:r>
    </w:p>
    <w:p w14:paraId="4062CA98" w14:textId="42FE8763" w:rsidR="00F86E3E" w:rsidRDefault="00F86E3E" w:rsidP="00F86E3E">
      <w:pPr>
        <w:widowControl/>
        <w:spacing w:after="120" w:line="259" w:lineRule="auto"/>
        <w:jc w:val="both"/>
        <w:rPr>
          <w:rFonts w:ascii="Arial" w:hAnsi="Arial" w:cs="Arial"/>
          <w:color w:val="000000"/>
          <w:lang w:val="cs-CZ"/>
        </w:rPr>
      </w:pPr>
      <w:r>
        <w:rPr>
          <w:rFonts w:ascii="Arial" w:eastAsia="Times New Roman" w:hAnsi="Arial" w:cs="Arial"/>
          <w:lang w:val="cs-CZ"/>
        </w:rPr>
        <w:t>Inova</w:t>
      </w:r>
      <w:r w:rsidR="001907CC">
        <w:rPr>
          <w:rFonts w:ascii="Arial" w:eastAsia="Times New Roman" w:hAnsi="Arial" w:cs="Arial"/>
          <w:lang w:val="cs-CZ"/>
        </w:rPr>
        <w:t>ční</w:t>
      </w:r>
      <w:r>
        <w:rPr>
          <w:rFonts w:ascii="Arial" w:eastAsia="Times New Roman" w:hAnsi="Arial" w:cs="Arial"/>
          <w:lang w:val="cs-CZ"/>
        </w:rPr>
        <w:t xml:space="preserve"> pracovní skupiny zpracovaly </w:t>
      </w:r>
      <w:r w:rsidRPr="001907CC">
        <w:rPr>
          <w:rFonts w:ascii="Arial" w:eastAsia="Times New Roman" w:hAnsi="Arial" w:cs="Arial"/>
          <w:b/>
          <w:bCs/>
          <w:lang w:val="cs-CZ"/>
        </w:rPr>
        <w:t>sektorové k</w:t>
      </w:r>
      <w:r w:rsidR="00187D73" w:rsidRPr="00187D73">
        <w:rPr>
          <w:rFonts w:ascii="Arial" w:eastAsia="Times New Roman" w:hAnsi="Arial" w:cs="Arial"/>
          <w:b/>
          <w:bCs/>
          <w:lang w:val="cs-CZ"/>
        </w:rPr>
        <w:t>ompetenční pyramid</w:t>
      </w:r>
      <w:r w:rsidRPr="001907CC">
        <w:rPr>
          <w:rFonts w:ascii="Arial" w:eastAsia="Times New Roman" w:hAnsi="Arial" w:cs="Arial"/>
          <w:b/>
          <w:bCs/>
          <w:lang w:val="cs-CZ"/>
        </w:rPr>
        <w:t>y</w:t>
      </w:r>
      <w:r w:rsidR="00187D73" w:rsidRPr="00187D73">
        <w:rPr>
          <w:rFonts w:ascii="Arial" w:eastAsia="Times New Roman" w:hAnsi="Arial" w:cs="Arial"/>
          <w:lang w:val="cs-CZ"/>
        </w:rPr>
        <w:t xml:space="preserve"> představuj</w:t>
      </w:r>
      <w:r>
        <w:rPr>
          <w:rFonts w:ascii="Arial" w:eastAsia="Times New Roman" w:hAnsi="Arial" w:cs="Arial"/>
          <w:lang w:val="cs-CZ"/>
        </w:rPr>
        <w:t xml:space="preserve">ící </w:t>
      </w:r>
      <w:r w:rsidR="00187D73" w:rsidRPr="00187D73">
        <w:rPr>
          <w:rFonts w:ascii="Arial" w:eastAsia="Times New Roman" w:hAnsi="Arial" w:cs="Arial"/>
          <w:lang w:val="cs-CZ"/>
        </w:rPr>
        <w:t>hierarchický a systematicky tříděný souhrn kompetencí</w:t>
      </w:r>
      <w:r w:rsidR="00187D73" w:rsidRPr="00187D73">
        <w:rPr>
          <w:rFonts w:ascii="Arial" w:hAnsi="Arial" w:cs="Arial"/>
          <w:lang w:val="cs-CZ"/>
        </w:rPr>
        <w:t xml:space="preserve"> </w:t>
      </w:r>
      <w:r w:rsidR="00187D73" w:rsidRPr="00187D73">
        <w:rPr>
          <w:rFonts w:ascii="Arial" w:hAnsi="Arial" w:cs="Arial"/>
          <w:color w:val="000000"/>
          <w:lang w:val="cs-CZ"/>
        </w:rPr>
        <w:t>v daném sektoru. Jedná se o kompetenční model, který umožnuje inovativně a systematicky uspořádat obecné i odborné kompetence.</w:t>
      </w:r>
      <w:r w:rsidRPr="00F86E3E">
        <w:rPr>
          <w:lang w:val="cs-CZ"/>
        </w:rPr>
        <w:t xml:space="preserve"> </w:t>
      </w:r>
      <w:r w:rsidRPr="00F86E3E">
        <w:rPr>
          <w:rFonts w:ascii="Arial" w:hAnsi="Arial" w:cs="Arial"/>
          <w:color w:val="000000"/>
          <w:lang w:val="cs-CZ"/>
        </w:rPr>
        <w:t>Základnu pyramidy</w:t>
      </w:r>
      <w:r>
        <w:rPr>
          <w:rFonts w:ascii="Arial" w:hAnsi="Arial" w:cs="Arial"/>
          <w:color w:val="000000"/>
          <w:lang w:val="cs-CZ"/>
        </w:rPr>
        <w:t xml:space="preserve"> tedy</w:t>
      </w:r>
      <w:r w:rsidRPr="00F86E3E">
        <w:rPr>
          <w:rFonts w:ascii="Arial" w:hAnsi="Arial" w:cs="Arial"/>
          <w:color w:val="000000"/>
          <w:lang w:val="cs-CZ"/>
        </w:rPr>
        <w:t xml:space="preserve"> tvoří široce uplatnitelné </w:t>
      </w:r>
      <w:r w:rsidR="003C3E5B">
        <w:rPr>
          <w:rFonts w:ascii="Arial" w:hAnsi="Arial" w:cs="Arial"/>
          <w:color w:val="000000"/>
          <w:lang w:val="cs-CZ"/>
        </w:rPr>
        <w:t xml:space="preserve">všeobecné znalosti, odborné a přenositelné (měkké) </w:t>
      </w:r>
      <w:r w:rsidRPr="00F86E3E">
        <w:rPr>
          <w:rFonts w:ascii="Arial" w:hAnsi="Arial" w:cs="Arial"/>
          <w:color w:val="000000"/>
          <w:lang w:val="cs-CZ"/>
        </w:rPr>
        <w:t>dovednosti a kompetence (matematika, jazykové dovednosti</w:t>
      </w:r>
      <w:r>
        <w:rPr>
          <w:rFonts w:ascii="Arial" w:hAnsi="Arial" w:cs="Arial"/>
          <w:color w:val="000000"/>
          <w:lang w:val="cs-CZ"/>
        </w:rPr>
        <w:t>,</w:t>
      </w:r>
      <w:r w:rsidRPr="00F86E3E">
        <w:rPr>
          <w:rFonts w:ascii="Arial" w:hAnsi="Arial" w:cs="Arial"/>
          <w:color w:val="000000"/>
          <w:lang w:val="cs-CZ"/>
        </w:rPr>
        <w:t xml:space="preserve"> atd.)</w:t>
      </w:r>
      <w:r>
        <w:rPr>
          <w:rFonts w:ascii="Arial" w:hAnsi="Arial" w:cs="Arial"/>
          <w:color w:val="000000"/>
          <w:lang w:val="cs-CZ"/>
        </w:rPr>
        <w:t>, její s</w:t>
      </w:r>
      <w:r w:rsidRPr="00F86E3E">
        <w:rPr>
          <w:rFonts w:ascii="Arial" w:hAnsi="Arial" w:cs="Arial"/>
          <w:color w:val="000000"/>
          <w:lang w:val="cs-CZ"/>
        </w:rPr>
        <w:t>třed vymezuje široký kompetenční základ daného sektoru</w:t>
      </w:r>
      <w:r>
        <w:rPr>
          <w:rFonts w:ascii="Arial" w:hAnsi="Arial" w:cs="Arial"/>
          <w:color w:val="000000"/>
          <w:lang w:val="cs-CZ"/>
        </w:rPr>
        <w:t xml:space="preserve">, který </w:t>
      </w:r>
      <w:r w:rsidRPr="00F86E3E">
        <w:rPr>
          <w:rFonts w:ascii="Arial" w:hAnsi="Arial" w:cs="Arial"/>
          <w:color w:val="000000"/>
          <w:lang w:val="cs-CZ"/>
        </w:rPr>
        <w:t>potřebujeme znát, pokud chceme někoho rekvalifikovat na zcela jinou oblast</w:t>
      </w:r>
      <w:r>
        <w:rPr>
          <w:rFonts w:ascii="Arial" w:hAnsi="Arial" w:cs="Arial"/>
          <w:color w:val="000000"/>
          <w:lang w:val="cs-CZ"/>
        </w:rPr>
        <w:t>, a n</w:t>
      </w:r>
      <w:r w:rsidRPr="00F86E3E">
        <w:rPr>
          <w:rFonts w:ascii="Arial" w:hAnsi="Arial" w:cs="Arial"/>
          <w:color w:val="000000"/>
          <w:lang w:val="cs-CZ"/>
        </w:rPr>
        <w:t>a špičce pyramidy jsou</w:t>
      </w:r>
      <w:r>
        <w:rPr>
          <w:rFonts w:ascii="Arial" w:hAnsi="Arial" w:cs="Arial"/>
          <w:color w:val="000000"/>
          <w:lang w:val="cs-CZ"/>
        </w:rPr>
        <w:t xml:space="preserve"> pak</w:t>
      </w:r>
      <w:r w:rsidRPr="00F86E3E">
        <w:rPr>
          <w:rFonts w:ascii="Arial" w:hAnsi="Arial" w:cs="Arial"/>
          <w:color w:val="000000"/>
          <w:lang w:val="cs-CZ"/>
        </w:rPr>
        <w:t xml:space="preserve"> vysoce specializované dovednosti</w:t>
      </w:r>
      <w:r>
        <w:rPr>
          <w:rFonts w:ascii="Arial" w:hAnsi="Arial" w:cs="Arial"/>
          <w:color w:val="000000"/>
          <w:lang w:val="cs-CZ"/>
        </w:rPr>
        <w:t>.</w:t>
      </w:r>
    </w:p>
    <w:p w14:paraId="75A45095" w14:textId="77777777" w:rsidR="00F86E3E" w:rsidRDefault="00F86E3E" w:rsidP="00F86E3E">
      <w:pPr>
        <w:widowControl/>
        <w:spacing w:after="120" w:line="259" w:lineRule="auto"/>
        <w:jc w:val="both"/>
        <w:rPr>
          <w:rFonts w:ascii="Arial" w:hAnsi="Arial" w:cs="Arial"/>
          <w:color w:val="000000"/>
          <w:lang w:val="cs-CZ"/>
        </w:rPr>
      </w:pPr>
    </w:p>
    <w:p w14:paraId="47B41933" w14:textId="77777777" w:rsidR="00EB3F9E" w:rsidRPr="00D51BEC" w:rsidRDefault="00EB3F9E" w:rsidP="00187D73">
      <w:pPr>
        <w:widowControl/>
        <w:spacing w:after="120" w:line="259" w:lineRule="auto"/>
        <w:jc w:val="both"/>
        <w:rPr>
          <w:rFonts w:ascii="Arial" w:hAnsi="Arial" w:cs="Arial"/>
          <w:color w:val="000000"/>
          <w:sz w:val="10"/>
          <w:szCs w:val="10"/>
          <w:lang w:val="cs-CZ"/>
        </w:rPr>
      </w:pPr>
    </w:p>
    <w:p w14:paraId="0DB55ACA" w14:textId="5655D053" w:rsidR="00187D73" w:rsidRPr="00187D73" w:rsidRDefault="00F86E3E" w:rsidP="00187D73">
      <w:pPr>
        <w:widowControl/>
        <w:spacing w:after="120" w:line="259" w:lineRule="auto"/>
        <w:jc w:val="both"/>
        <w:rPr>
          <w:rFonts w:ascii="Arial" w:hAnsi="Arial" w:cs="Arial"/>
          <w:b/>
          <w:bCs/>
          <w:color w:val="000000"/>
          <w:lang w:val="cs-CZ"/>
        </w:rPr>
      </w:pPr>
      <w:r>
        <w:rPr>
          <w:rFonts w:ascii="Arial" w:hAnsi="Arial" w:cs="Arial"/>
          <w:color w:val="000000"/>
          <w:lang w:val="cs-CZ"/>
        </w:rPr>
        <w:lastRenderedPageBreak/>
        <w:br/>
      </w:r>
      <w:r w:rsidR="00EB3F9E">
        <w:rPr>
          <w:rFonts w:ascii="Arial" w:hAnsi="Arial" w:cs="Arial"/>
          <w:color w:val="000000"/>
          <w:lang w:val="cs-CZ"/>
        </w:rPr>
        <w:t xml:space="preserve">Své úsilí členové Inovačních pracovních skupin završili vytvořením </w:t>
      </w:r>
      <w:r w:rsidR="00187D73" w:rsidRPr="00187D73">
        <w:rPr>
          <w:rFonts w:ascii="Arial" w:hAnsi="Arial" w:cs="Arial"/>
          <w:b/>
          <w:bCs/>
          <w:color w:val="000000"/>
          <w:lang w:val="cs-CZ"/>
        </w:rPr>
        <w:t>20 širokých povolání</w:t>
      </w:r>
      <w:r w:rsidR="00EB3F9E">
        <w:rPr>
          <w:rFonts w:ascii="Arial" w:hAnsi="Arial" w:cs="Arial"/>
          <w:color w:val="000000"/>
          <w:lang w:val="cs-CZ"/>
        </w:rPr>
        <w:t>. Tyto profily v sobě spojují již dnes vyžadované a vyučované dovednosti s těmi novými, obsaženými v kompetenčních pyramidách. Popsán</w:t>
      </w:r>
      <w:r w:rsidR="001907CC">
        <w:rPr>
          <w:rFonts w:ascii="Arial" w:hAnsi="Arial" w:cs="Arial"/>
          <w:color w:val="000000"/>
          <w:lang w:val="cs-CZ"/>
        </w:rPr>
        <w:t>a</w:t>
      </w:r>
      <w:r w:rsidR="00EB3F9E">
        <w:rPr>
          <w:rFonts w:ascii="Arial" w:hAnsi="Arial" w:cs="Arial"/>
          <w:color w:val="000000"/>
          <w:lang w:val="cs-CZ"/>
        </w:rPr>
        <w:t xml:space="preserve"> byla např. široká povolání </w:t>
      </w:r>
      <w:r>
        <w:rPr>
          <w:rFonts w:ascii="Arial" w:hAnsi="Arial" w:cs="Arial"/>
          <w:color w:val="000000"/>
          <w:lang w:val="cs-CZ"/>
        </w:rPr>
        <w:t>T</w:t>
      </w:r>
      <w:r w:rsidR="00187D73" w:rsidRPr="00187D73">
        <w:rPr>
          <w:rFonts w:ascii="Arial" w:hAnsi="Arial" w:cs="Arial"/>
          <w:color w:val="000000"/>
          <w:lang w:val="cs-CZ"/>
        </w:rPr>
        <w:t xml:space="preserve">echnik mechatronik, </w:t>
      </w:r>
      <w:r>
        <w:rPr>
          <w:rFonts w:ascii="Arial" w:hAnsi="Arial" w:cs="Arial"/>
          <w:color w:val="000000"/>
          <w:lang w:val="cs-CZ"/>
        </w:rPr>
        <w:t>S</w:t>
      </w:r>
      <w:r w:rsidR="00187D73" w:rsidRPr="00187D73">
        <w:rPr>
          <w:rFonts w:ascii="Arial" w:hAnsi="Arial" w:cs="Arial"/>
          <w:color w:val="000000"/>
          <w:lang w:val="cs-CZ"/>
        </w:rPr>
        <w:t xml:space="preserve">pecialista kybernetické bezpečnosti, </w:t>
      </w:r>
      <w:r>
        <w:rPr>
          <w:rFonts w:ascii="Arial" w:hAnsi="Arial" w:cs="Arial"/>
          <w:color w:val="000000"/>
          <w:lang w:val="cs-CZ"/>
        </w:rPr>
        <w:t>A</w:t>
      </w:r>
      <w:r w:rsidR="00187D73" w:rsidRPr="00187D73">
        <w:rPr>
          <w:rFonts w:ascii="Arial" w:hAnsi="Arial" w:cs="Arial"/>
          <w:color w:val="000000"/>
          <w:lang w:val="cs-CZ"/>
        </w:rPr>
        <w:t xml:space="preserve">utotronik, </w:t>
      </w:r>
      <w:r>
        <w:rPr>
          <w:rFonts w:ascii="Arial" w:hAnsi="Arial" w:cs="Arial"/>
          <w:color w:val="000000"/>
          <w:lang w:val="cs-CZ"/>
        </w:rPr>
        <w:t>H</w:t>
      </w:r>
      <w:r w:rsidR="00187D73" w:rsidRPr="00187D73">
        <w:rPr>
          <w:rFonts w:ascii="Arial" w:hAnsi="Arial" w:cs="Arial"/>
          <w:color w:val="000000"/>
          <w:lang w:val="cs-CZ"/>
        </w:rPr>
        <w:t xml:space="preserve">erní vývojář, </w:t>
      </w:r>
      <w:r>
        <w:rPr>
          <w:rFonts w:ascii="Arial" w:hAnsi="Arial" w:cs="Arial"/>
          <w:color w:val="000000"/>
          <w:lang w:val="cs-CZ"/>
        </w:rPr>
        <w:t>L</w:t>
      </w:r>
      <w:r w:rsidR="00187D73" w:rsidRPr="00187D73">
        <w:rPr>
          <w:rFonts w:ascii="Arial" w:hAnsi="Arial" w:cs="Arial"/>
          <w:color w:val="000000"/>
          <w:lang w:val="cs-CZ"/>
        </w:rPr>
        <w:t>ogistik</w:t>
      </w:r>
      <w:r>
        <w:rPr>
          <w:rFonts w:ascii="Arial" w:hAnsi="Arial" w:cs="Arial"/>
          <w:color w:val="000000"/>
          <w:lang w:val="cs-CZ"/>
        </w:rPr>
        <w:t xml:space="preserve"> či S</w:t>
      </w:r>
      <w:r w:rsidR="00187D73" w:rsidRPr="00187D73">
        <w:rPr>
          <w:rFonts w:ascii="Arial" w:hAnsi="Arial" w:cs="Arial"/>
          <w:color w:val="000000"/>
          <w:lang w:val="cs-CZ"/>
        </w:rPr>
        <w:t xml:space="preserve">pecialista marketingu.  </w:t>
      </w:r>
    </w:p>
    <w:p w14:paraId="2A3E2B44" w14:textId="4363A569" w:rsidR="00187D73" w:rsidRDefault="00187D73" w:rsidP="00EB3F9E">
      <w:pPr>
        <w:widowControl/>
        <w:spacing w:after="0" w:line="259" w:lineRule="auto"/>
        <w:jc w:val="both"/>
        <w:rPr>
          <w:rFonts w:ascii="Arial" w:hAnsi="Arial" w:cs="Arial"/>
          <w:lang w:val="cs-CZ"/>
        </w:rPr>
      </w:pPr>
      <w:r w:rsidRPr="00187D73">
        <w:rPr>
          <w:rFonts w:ascii="Arial" w:hAnsi="Arial" w:cs="Arial"/>
          <w:lang w:val="cs-CZ"/>
        </w:rPr>
        <w:t>Kompetenční pyramidy a jejich informační zdroj New Skills Monitor jsou důležitým východiskem pro přípravu rekvalifikací a vzdělávacích programů UpSkillingu a ReSkillingu.</w:t>
      </w:r>
      <w:r w:rsidR="001907CC">
        <w:rPr>
          <w:rFonts w:ascii="Arial" w:hAnsi="Arial" w:cs="Arial"/>
          <w:lang w:val="cs-CZ"/>
        </w:rPr>
        <w:t xml:space="preserve"> </w:t>
      </w:r>
      <w:r w:rsidR="003C3E5B">
        <w:rPr>
          <w:rFonts w:ascii="Arial" w:hAnsi="Arial" w:cs="Arial"/>
          <w:lang w:val="cs-CZ"/>
        </w:rPr>
        <w:t>P</w:t>
      </w:r>
      <w:r w:rsidR="001907CC">
        <w:rPr>
          <w:rFonts w:ascii="Arial" w:hAnsi="Arial" w:cs="Arial"/>
          <w:lang w:val="cs-CZ"/>
        </w:rPr>
        <w:t xml:space="preserve">rojektové aktivity </w:t>
      </w:r>
      <w:r w:rsidR="003C3E5B">
        <w:rPr>
          <w:rFonts w:ascii="Arial" w:hAnsi="Arial" w:cs="Arial"/>
          <w:lang w:val="cs-CZ"/>
        </w:rPr>
        <w:t xml:space="preserve">tak mohou </w:t>
      </w:r>
      <w:r w:rsidR="001907CC">
        <w:rPr>
          <w:rFonts w:ascii="Arial" w:hAnsi="Arial" w:cs="Arial"/>
          <w:lang w:val="cs-CZ"/>
        </w:rPr>
        <w:t>pom</w:t>
      </w:r>
      <w:r w:rsidR="003C3E5B">
        <w:rPr>
          <w:rFonts w:ascii="Arial" w:hAnsi="Arial" w:cs="Arial"/>
          <w:lang w:val="cs-CZ"/>
        </w:rPr>
        <w:t xml:space="preserve">oci </w:t>
      </w:r>
      <w:r w:rsidRPr="00187D73">
        <w:rPr>
          <w:rFonts w:ascii="Arial" w:hAnsi="Arial" w:cs="Arial"/>
          <w:bCs/>
          <w:lang w:val="cs-CZ"/>
        </w:rPr>
        <w:t>zlepšit kvalitu a aktuálnost těchto programů</w:t>
      </w:r>
      <w:r w:rsidR="001907CC">
        <w:rPr>
          <w:rFonts w:ascii="Arial" w:hAnsi="Arial" w:cs="Arial"/>
          <w:bCs/>
          <w:lang w:val="cs-CZ"/>
        </w:rPr>
        <w:t xml:space="preserve"> a</w:t>
      </w:r>
      <w:r w:rsidRPr="00187D73">
        <w:rPr>
          <w:rFonts w:ascii="Arial" w:hAnsi="Arial" w:cs="Arial"/>
          <w:bCs/>
          <w:lang w:val="cs-CZ"/>
        </w:rPr>
        <w:t xml:space="preserve"> usnad</w:t>
      </w:r>
      <w:r w:rsidR="003C3E5B">
        <w:rPr>
          <w:rFonts w:ascii="Arial" w:hAnsi="Arial" w:cs="Arial"/>
          <w:bCs/>
          <w:lang w:val="cs-CZ"/>
        </w:rPr>
        <w:t>nit</w:t>
      </w:r>
      <w:r w:rsidR="00EB3F9E">
        <w:rPr>
          <w:rFonts w:ascii="Arial" w:hAnsi="Arial" w:cs="Arial"/>
          <w:bCs/>
          <w:lang w:val="cs-CZ"/>
        </w:rPr>
        <w:t xml:space="preserve"> </w:t>
      </w:r>
      <w:r w:rsidRPr="00187D73">
        <w:rPr>
          <w:rFonts w:ascii="Arial" w:hAnsi="Arial" w:cs="Arial"/>
          <w:bCs/>
          <w:lang w:val="cs-CZ"/>
        </w:rPr>
        <w:t xml:space="preserve">správné zacílení aktivit realizovaných </w:t>
      </w:r>
      <w:r w:rsidR="00EB3F9E">
        <w:rPr>
          <w:rFonts w:ascii="Arial" w:hAnsi="Arial" w:cs="Arial"/>
          <w:bCs/>
          <w:lang w:val="cs-CZ"/>
        </w:rPr>
        <w:t>M</w:t>
      </w:r>
      <w:r w:rsidR="001907CC">
        <w:rPr>
          <w:rFonts w:ascii="Arial" w:hAnsi="Arial" w:cs="Arial"/>
          <w:bCs/>
          <w:lang w:val="cs-CZ"/>
        </w:rPr>
        <w:t xml:space="preserve">PSV </w:t>
      </w:r>
      <w:r w:rsidR="00EB3F9E">
        <w:rPr>
          <w:rFonts w:ascii="Arial" w:hAnsi="Arial" w:cs="Arial"/>
          <w:bCs/>
          <w:lang w:val="cs-CZ"/>
        </w:rPr>
        <w:t>ve</w:t>
      </w:r>
      <w:r w:rsidR="001907CC">
        <w:rPr>
          <w:rFonts w:ascii="Arial" w:hAnsi="Arial" w:cs="Arial"/>
          <w:bCs/>
          <w:lang w:val="cs-CZ"/>
        </w:rPr>
        <w:t xml:space="preserve"> spolupráci</w:t>
      </w:r>
      <w:r w:rsidR="00EB3F9E">
        <w:rPr>
          <w:rFonts w:ascii="Arial" w:hAnsi="Arial" w:cs="Arial"/>
          <w:bCs/>
          <w:lang w:val="cs-CZ"/>
        </w:rPr>
        <w:t xml:space="preserve"> </w:t>
      </w:r>
      <w:r w:rsidRPr="00187D73">
        <w:rPr>
          <w:rFonts w:ascii="Arial" w:hAnsi="Arial" w:cs="Arial"/>
          <w:bCs/>
          <w:lang w:val="cs-CZ"/>
        </w:rPr>
        <w:t>s</w:t>
      </w:r>
      <w:r w:rsidR="00EB3F9E">
        <w:rPr>
          <w:rFonts w:ascii="Arial" w:hAnsi="Arial" w:cs="Arial"/>
          <w:bCs/>
          <w:lang w:val="cs-CZ"/>
        </w:rPr>
        <w:t> </w:t>
      </w:r>
      <w:r w:rsidRPr="00187D73">
        <w:rPr>
          <w:rFonts w:ascii="Arial" w:hAnsi="Arial" w:cs="Arial"/>
          <w:bCs/>
          <w:lang w:val="cs-CZ"/>
        </w:rPr>
        <w:t>Ú</w:t>
      </w:r>
      <w:r w:rsidR="00EB3F9E">
        <w:rPr>
          <w:rFonts w:ascii="Arial" w:hAnsi="Arial" w:cs="Arial"/>
          <w:bCs/>
          <w:lang w:val="cs-CZ"/>
        </w:rPr>
        <w:t xml:space="preserve">řadem práce </w:t>
      </w:r>
      <w:r w:rsidRPr="00187D73">
        <w:rPr>
          <w:rFonts w:ascii="Arial" w:hAnsi="Arial" w:cs="Arial"/>
          <w:bCs/>
          <w:lang w:val="cs-CZ"/>
        </w:rPr>
        <w:t>ČR</w:t>
      </w:r>
      <w:r w:rsidR="00EB3F9E">
        <w:rPr>
          <w:rFonts w:ascii="Arial" w:hAnsi="Arial" w:cs="Arial"/>
          <w:bCs/>
          <w:lang w:val="cs-CZ"/>
        </w:rPr>
        <w:t>, a</w:t>
      </w:r>
      <w:r w:rsidRPr="00187D73">
        <w:rPr>
          <w:rFonts w:ascii="Arial" w:hAnsi="Arial" w:cs="Arial"/>
          <w:bCs/>
          <w:lang w:val="cs-CZ"/>
        </w:rPr>
        <w:t xml:space="preserve"> to v souladu s potřebami firem i</w:t>
      </w:r>
      <w:r w:rsidRPr="00187D73">
        <w:rPr>
          <w:rFonts w:ascii="Arial" w:hAnsi="Arial" w:cs="Arial"/>
          <w:lang w:val="cs-CZ"/>
        </w:rPr>
        <w:t xml:space="preserve"> lidí, kteří se chtějí na trhu práce úspěšně uplatnit </w:t>
      </w:r>
      <w:r w:rsidR="00EB3F9E">
        <w:rPr>
          <w:rFonts w:ascii="Arial" w:hAnsi="Arial" w:cs="Arial"/>
          <w:lang w:val="cs-CZ"/>
        </w:rPr>
        <w:t xml:space="preserve">nejen </w:t>
      </w:r>
      <w:r w:rsidRPr="00187D73">
        <w:rPr>
          <w:rFonts w:ascii="Arial" w:hAnsi="Arial" w:cs="Arial"/>
          <w:lang w:val="cs-CZ"/>
        </w:rPr>
        <w:t xml:space="preserve">v současné době, tak i </w:t>
      </w:r>
      <w:r w:rsidR="00EB3F9E">
        <w:rPr>
          <w:rFonts w:ascii="Arial" w:hAnsi="Arial" w:cs="Arial"/>
          <w:lang w:val="cs-CZ"/>
        </w:rPr>
        <w:t>v</w:t>
      </w:r>
      <w:r w:rsidRPr="00187D73">
        <w:rPr>
          <w:rFonts w:ascii="Arial" w:hAnsi="Arial" w:cs="Arial"/>
          <w:lang w:val="cs-CZ"/>
        </w:rPr>
        <w:t xml:space="preserve"> budoucn</w:t>
      </w:r>
      <w:r w:rsidR="00EB3F9E">
        <w:rPr>
          <w:rFonts w:ascii="Arial" w:hAnsi="Arial" w:cs="Arial"/>
          <w:lang w:val="cs-CZ"/>
        </w:rPr>
        <w:t>u</w:t>
      </w:r>
      <w:r w:rsidRPr="00187D73">
        <w:rPr>
          <w:rFonts w:ascii="Arial" w:hAnsi="Arial" w:cs="Arial"/>
          <w:lang w:val="cs-CZ"/>
        </w:rPr>
        <w:t>.</w:t>
      </w:r>
    </w:p>
    <w:p w14:paraId="5F3E9E24" w14:textId="77777777" w:rsidR="00EB3F9E" w:rsidRDefault="00EB3F9E" w:rsidP="00EB3F9E">
      <w:pPr>
        <w:widowControl/>
        <w:spacing w:before="120" w:after="0" w:line="259" w:lineRule="auto"/>
        <w:jc w:val="both"/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</w:pPr>
    </w:p>
    <w:p w14:paraId="1D3B1FED" w14:textId="48BC0C9D" w:rsidR="00EB3F9E" w:rsidRPr="00D06449" w:rsidRDefault="00EB3F9E" w:rsidP="00EB3F9E">
      <w:pPr>
        <w:widowControl/>
        <w:spacing w:after="120" w:line="259" w:lineRule="auto"/>
        <w:jc w:val="both"/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</w:pPr>
      <w:r>
        <w:rPr>
          <w:rFonts w:ascii="Arial" w:eastAsia="Times New Roman" w:hAnsi="Arial" w:cs="Arial"/>
          <w:i/>
          <w:iCs/>
          <w:color w:val="365F91" w:themeColor="accent1" w:themeShade="BF"/>
          <w:lang w:val="cs-CZ"/>
        </w:rPr>
        <w:t>Oslovení a zapojení veřejnosti</w:t>
      </w:r>
    </w:p>
    <w:p w14:paraId="7792D4AE" w14:textId="70A2F7B9" w:rsidR="00EB3F9E" w:rsidRDefault="00EB3F9E" w:rsidP="00187D73">
      <w:pPr>
        <w:widowControl/>
        <w:spacing w:after="120" w:line="259" w:lineRule="auto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Všechny výstupy z realizovaných aktivit byly představeny a komunikovány se širokou veřejností. Ta měla v průběhu tvorby</w:t>
      </w:r>
      <w:r w:rsidR="00DB4D56">
        <w:rPr>
          <w:rFonts w:ascii="Arial" w:hAnsi="Arial" w:cs="Arial"/>
          <w:lang w:val="cs-CZ"/>
        </w:rPr>
        <w:t xml:space="preserve"> jednotlivých výstupů</w:t>
      </w:r>
      <w:r>
        <w:rPr>
          <w:rFonts w:ascii="Arial" w:hAnsi="Arial" w:cs="Arial"/>
          <w:lang w:val="cs-CZ"/>
        </w:rPr>
        <w:t xml:space="preserve"> možnost zapojit se formou veřejného připomínkování či diskutovat na mnoha setkáních, která se konala po celé republice, a na nichž realizační tým projektu vše podrobně vysvětloval a ukazoval.     </w:t>
      </w:r>
    </w:p>
    <w:p w14:paraId="05265A25" w14:textId="77777777" w:rsidR="00EB3F9E" w:rsidRPr="00187D73" w:rsidRDefault="00EB3F9E" w:rsidP="00187D73">
      <w:pPr>
        <w:widowControl/>
        <w:spacing w:after="120" w:line="259" w:lineRule="auto"/>
        <w:jc w:val="both"/>
        <w:rPr>
          <w:rFonts w:ascii="Arial" w:hAnsi="Arial" w:cs="Arial"/>
          <w:lang w:val="cs-CZ"/>
        </w:rPr>
      </w:pPr>
    </w:p>
    <w:p w14:paraId="5959879D" w14:textId="64021610" w:rsidR="00187D73" w:rsidRPr="00187D73" w:rsidRDefault="00EB3F9E" w:rsidP="00EB3F9E">
      <w:pPr>
        <w:widowControl/>
        <w:spacing w:before="120" w:after="120" w:line="259" w:lineRule="auto"/>
        <w:jc w:val="both"/>
        <w:rPr>
          <w:rFonts w:ascii="Arial" w:eastAsia="Times New Roman" w:hAnsi="Arial" w:cs="Arial"/>
          <w:b/>
          <w:bCs/>
          <w:color w:val="2F5496"/>
          <w:lang w:val="cs-CZ"/>
        </w:rPr>
      </w:pPr>
      <w:r>
        <w:rPr>
          <w:rFonts w:ascii="Arial" w:eastAsia="Times New Roman" w:hAnsi="Arial" w:cs="Arial"/>
          <w:b/>
          <w:bCs/>
          <w:color w:val="2F5496"/>
          <w:lang w:val="cs-CZ"/>
        </w:rPr>
        <w:t xml:space="preserve">Jak můžeme výstupy projektu „Kompetence 4.0“ využít? </w:t>
      </w:r>
    </w:p>
    <w:p w14:paraId="5AB48546" w14:textId="77777777" w:rsidR="00187D73" w:rsidRPr="00187D73" w:rsidRDefault="00187D73" w:rsidP="00187D73">
      <w:pPr>
        <w:widowControl/>
        <w:spacing w:before="120" w:after="120" w:line="259" w:lineRule="auto"/>
        <w:jc w:val="both"/>
        <w:rPr>
          <w:rFonts w:ascii="Arial" w:hAnsi="Arial" w:cs="Arial"/>
          <w:color w:val="000000"/>
          <w:lang w:val="cs-CZ"/>
        </w:rPr>
      </w:pPr>
      <w:r w:rsidRPr="00187D73">
        <w:rPr>
          <w:rFonts w:ascii="Arial" w:hAnsi="Arial" w:cs="Arial"/>
          <w:color w:val="000000"/>
          <w:lang w:val="cs-CZ"/>
        </w:rPr>
        <w:t>Využití vytvořených výstupů je velmi široké, jmenujme tedy alespoň některé příklady:</w:t>
      </w:r>
    </w:p>
    <w:p w14:paraId="5A69B634" w14:textId="7C444684" w:rsidR="00187D73" w:rsidRPr="00187D73" w:rsidRDefault="00187D73" w:rsidP="00187D73">
      <w:pPr>
        <w:widowControl/>
        <w:spacing w:before="120" w:after="120" w:line="259" w:lineRule="auto"/>
        <w:jc w:val="both"/>
        <w:rPr>
          <w:rFonts w:ascii="Arial" w:hAnsi="Arial" w:cs="Arial"/>
          <w:color w:val="000000"/>
          <w:lang w:val="cs-CZ"/>
        </w:rPr>
      </w:pPr>
      <w:r w:rsidRPr="00187D73">
        <w:rPr>
          <w:rFonts w:ascii="Arial" w:hAnsi="Arial" w:cs="Arial"/>
          <w:b/>
          <w:bCs/>
          <w:color w:val="000000"/>
          <w:lang w:val="cs-CZ"/>
        </w:rPr>
        <w:t>Národní soustava povolání</w:t>
      </w:r>
      <w:r w:rsidRPr="00187D73">
        <w:rPr>
          <w:rFonts w:ascii="Arial" w:hAnsi="Arial" w:cs="Arial"/>
          <w:color w:val="000000"/>
          <w:lang w:val="cs-CZ"/>
        </w:rPr>
        <w:t xml:space="preserve"> (NSP) bude aktualizována o nová povolání, nové kompetence a zároveň může být zjednodušena díky definování společného základu. V této podobě může NSP sehrávat ještě významnější roli např. v oblasti </w:t>
      </w:r>
      <w:r w:rsidRPr="00187D73">
        <w:rPr>
          <w:rFonts w:ascii="Arial" w:hAnsi="Arial" w:cs="Arial"/>
          <w:b/>
          <w:bCs/>
          <w:color w:val="000000"/>
          <w:lang w:val="cs-CZ"/>
        </w:rPr>
        <w:t>kariérového poradenství</w:t>
      </w:r>
      <w:r w:rsidRPr="00187D73">
        <w:rPr>
          <w:rFonts w:ascii="Arial" w:hAnsi="Arial" w:cs="Arial"/>
          <w:color w:val="000000"/>
          <w:lang w:val="cs-CZ"/>
        </w:rPr>
        <w:t xml:space="preserve"> (Informační poradenská střediska na </w:t>
      </w:r>
      <w:r w:rsidR="001907CC">
        <w:rPr>
          <w:rFonts w:ascii="Arial" w:hAnsi="Arial" w:cs="Arial"/>
          <w:color w:val="000000"/>
          <w:lang w:val="cs-CZ"/>
        </w:rPr>
        <w:t>pobočkách Ú</w:t>
      </w:r>
      <w:r w:rsidRPr="00187D73">
        <w:rPr>
          <w:rFonts w:ascii="Arial" w:hAnsi="Arial" w:cs="Arial"/>
          <w:color w:val="000000"/>
          <w:lang w:val="cs-CZ"/>
        </w:rPr>
        <w:t>řad</w:t>
      </w:r>
      <w:r w:rsidR="001907CC">
        <w:rPr>
          <w:rFonts w:ascii="Arial" w:hAnsi="Arial" w:cs="Arial"/>
          <w:color w:val="000000"/>
          <w:lang w:val="cs-CZ"/>
        </w:rPr>
        <w:t>u</w:t>
      </w:r>
      <w:r w:rsidRPr="00187D73">
        <w:rPr>
          <w:rFonts w:ascii="Arial" w:hAnsi="Arial" w:cs="Arial"/>
          <w:color w:val="000000"/>
          <w:lang w:val="cs-CZ"/>
        </w:rPr>
        <w:t xml:space="preserve"> práce</w:t>
      </w:r>
      <w:r w:rsidR="001907CC">
        <w:rPr>
          <w:rFonts w:ascii="Arial" w:hAnsi="Arial" w:cs="Arial"/>
          <w:color w:val="000000"/>
          <w:lang w:val="cs-CZ"/>
        </w:rPr>
        <w:t xml:space="preserve"> ČR</w:t>
      </w:r>
      <w:r w:rsidRPr="00187D73">
        <w:rPr>
          <w:rFonts w:ascii="Arial" w:hAnsi="Arial" w:cs="Arial"/>
          <w:color w:val="000000"/>
          <w:lang w:val="cs-CZ"/>
        </w:rPr>
        <w:t>, kariéroví poradci na školách atd.).</w:t>
      </w:r>
    </w:p>
    <w:p w14:paraId="57A88BB6" w14:textId="46EECF56" w:rsidR="00187D73" w:rsidRPr="00187D73" w:rsidRDefault="00187D73" w:rsidP="00187D73">
      <w:pPr>
        <w:widowControl/>
        <w:spacing w:before="120" w:after="120" w:line="259" w:lineRule="auto"/>
        <w:jc w:val="both"/>
        <w:rPr>
          <w:rFonts w:ascii="Arial" w:hAnsi="Arial" w:cs="Arial"/>
          <w:color w:val="000000"/>
          <w:lang w:val="cs-CZ"/>
        </w:rPr>
      </w:pPr>
      <w:r w:rsidRPr="00187D73">
        <w:rPr>
          <w:rFonts w:ascii="Arial" w:hAnsi="Arial" w:cs="Arial"/>
          <w:color w:val="000000"/>
          <w:lang w:val="cs-CZ"/>
        </w:rPr>
        <w:t xml:space="preserve">Výstupy </w:t>
      </w:r>
      <w:r w:rsidR="00DB4D56">
        <w:rPr>
          <w:rFonts w:ascii="Arial" w:hAnsi="Arial" w:cs="Arial"/>
          <w:color w:val="000000"/>
          <w:lang w:val="cs-CZ"/>
        </w:rPr>
        <w:t xml:space="preserve">slouží </w:t>
      </w:r>
      <w:r w:rsidRPr="00187D73">
        <w:rPr>
          <w:rFonts w:ascii="Arial" w:hAnsi="Arial" w:cs="Arial"/>
          <w:color w:val="000000"/>
          <w:lang w:val="cs-CZ"/>
        </w:rPr>
        <w:t xml:space="preserve">jako zdroj strukturovaných informací pro </w:t>
      </w:r>
      <w:r w:rsidRPr="00187D73">
        <w:rPr>
          <w:rFonts w:ascii="Arial" w:hAnsi="Arial" w:cs="Arial"/>
          <w:b/>
          <w:bCs/>
          <w:color w:val="000000"/>
          <w:lang w:val="cs-CZ"/>
        </w:rPr>
        <w:t xml:space="preserve">inovaci </w:t>
      </w:r>
      <w:r w:rsidR="00742E3F">
        <w:rPr>
          <w:rFonts w:ascii="Arial" w:hAnsi="Arial" w:cs="Arial"/>
          <w:b/>
          <w:bCs/>
          <w:color w:val="000000"/>
          <w:lang w:val="cs-CZ"/>
        </w:rPr>
        <w:t xml:space="preserve">oborové struktury </w:t>
      </w:r>
      <w:r w:rsidRPr="00187D73">
        <w:rPr>
          <w:rFonts w:ascii="Arial" w:hAnsi="Arial" w:cs="Arial"/>
          <w:b/>
          <w:bCs/>
          <w:color w:val="000000"/>
          <w:lang w:val="cs-CZ"/>
        </w:rPr>
        <w:t xml:space="preserve">a aktualizaci rámcových vzdělávacích programů středního </w:t>
      </w:r>
      <w:r w:rsidR="00742E3F">
        <w:rPr>
          <w:rFonts w:ascii="Arial" w:hAnsi="Arial" w:cs="Arial"/>
          <w:b/>
          <w:bCs/>
          <w:color w:val="000000"/>
          <w:lang w:val="cs-CZ"/>
        </w:rPr>
        <w:t>odborného vzděláván</w:t>
      </w:r>
      <w:r w:rsidRPr="00187D73">
        <w:rPr>
          <w:rFonts w:ascii="Arial" w:hAnsi="Arial" w:cs="Arial"/>
          <w:b/>
          <w:bCs/>
          <w:color w:val="000000"/>
          <w:lang w:val="cs-CZ"/>
        </w:rPr>
        <w:t>í</w:t>
      </w:r>
      <w:r w:rsidRPr="00187D73">
        <w:rPr>
          <w:rFonts w:ascii="Arial" w:hAnsi="Arial" w:cs="Arial"/>
          <w:color w:val="000000"/>
          <w:lang w:val="cs-CZ"/>
        </w:rPr>
        <w:t>. Členy pracovních skupin proto</w:t>
      </w:r>
      <w:r w:rsidR="00DB4D56">
        <w:rPr>
          <w:rFonts w:ascii="Arial" w:hAnsi="Arial" w:cs="Arial"/>
          <w:color w:val="000000"/>
          <w:lang w:val="cs-CZ"/>
        </w:rPr>
        <w:t xml:space="preserve"> byli </w:t>
      </w:r>
      <w:r w:rsidRPr="00187D73">
        <w:rPr>
          <w:rFonts w:ascii="Arial" w:hAnsi="Arial" w:cs="Arial"/>
          <w:color w:val="000000"/>
          <w:lang w:val="cs-CZ"/>
        </w:rPr>
        <w:t>také odborní garanti Národního pedagogického institutu</w:t>
      </w:r>
      <w:r w:rsidR="001907CC">
        <w:rPr>
          <w:rFonts w:ascii="Arial" w:hAnsi="Arial" w:cs="Arial"/>
          <w:color w:val="000000"/>
          <w:lang w:val="cs-CZ"/>
        </w:rPr>
        <w:t xml:space="preserve"> (NPI)</w:t>
      </w:r>
      <w:r w:rsidRPr="00187D73">
        <w:rPr>
          <w:rFonts w:ascii="Arial" w:hAnsi="Arial" w:cs="Arial"/>
          <w:color w:val="000000"/>
          <w:lang w:val="cs-CZ"/>
        </w:rPr>
        <w:t xml:space="preserve">, kteří zajišťují přenos výstupů do revize </w:t>
      </w:r>
      <w:r w:rsidR="00742E3F">
        <w:rPr>
          <w:rFonts w:ascii="Arial" w:hAnsi="Arial" w:cs="Arial"/>
          <w:color w:val="000000"/>
          <w:lang w:val="cs-CZ"/>
        </w:rPr>
        <w:t>rámcových i vzorových školních</w:t>
      </w:r>
      <w:r w:rsidRPr="00187D73">
        <w:rPr>
          <w:rFonts w:ascii="Arial" w:hAnsi="Arial" w:cs="Arial"/>
          <w:color w:val="000000"/>
          <w:lang w:val="cs-CZ"/>
        </w:rPr>
        <w:t xml:space="preserve"> vzdělávacích programů (souvisejících s </w:t>
      </w:r>
      <w:r w:rsidR="00DB4D56">
        <w:rPr>
          <w:rFonts w:ascii="Arial" w:hAnsi="Arial" w:cs="Arial"/>
          <w:color w:val="000000"/>
          <w:lang w:val="cs-CZ"/>
        </w:rPr>
        <w:t>p</w:t>
      </w:r>
      <w:r w:rsidRPr="00187D73">
        <w:rPr>
          <w:rFonts w:ascii="Arial" w:hAnsi="Arial" w:cs="Arial"/>
          <w:color w:val="000000"/>
          <w:lang w:val="cs-CZ"/>
        </w:rPr>
        <w:t xml:space="preserve">ilotními sektory projektu). </w:t>
      </w:r>
      <w:r w:rsidR="00DB4D56">
        <w:rPr>
          <w:rFonts w:ascii="Arial" w:hAnsi="Arial" w:cs="Arial"/>
          <w:color w:val="000000"/>
          <w:lang w:val="cs-CZ"/>
        </w:rPr>
        <w:t xml:space="preserve">V rámci spolupráce inovačních pracovních skupin a NPI </w:t>
      </w:r>
      <w:r w:rsidR="00742E3F">
        <w:rPr>
          <w:rFonts w:ascii="Arial" w:hAnsi="Arial" w:cs="Arial"/>
          <w:color w:val="000000"/>
          <w:lang w:val="cs-CZ"/>
        </w:rPr>
        <w:t>bylo navrženo</w:t>
      </w:r>
      <w:r w:rsidR="00DB4D56">
        <w:rPr>
          <w:rFonts w:ascii="Arial" w:hAnsi="Arial" w:cs="Arial"/>
          <w:b/>
          <w:bCs/>
          <w:color w:val="000000"/>
          <w:lang w:val="cs-CZ"/>
        </w:rPr>
        <w:t xml:space="preserve"> </w:t>
      </w:r>
      <w:r w:rsidRPr="00187D73">
        <w:rPr>
          <w:rFonts w:ascii="Arial" w:hAnsi="Arial" w:cs="Arial"/>
          <w:b/>
          <w:bCs/>
          <w:color w:val="000000"/>
          <w:lang w:val="cs-CZ"/>
        </w:rPr>
        <w:t>6 nových středoškolských oborů vzdělání</w:t>
      </w:r>
      <w:r w:rsidRPr="00187D73">
        <w:rPr>
          <w:rFonts w:ascii="Arial" w:hAnsi="Arial" w:cs="Arial"/>
          <w:color w:val="000000"/>
          <w:lang w:val="cs-CZ"/>
        </w:rPr>
        <w:t xml:space="preserve"> </w:t>
      </w:r>
      <w:r w:rsidR="00DB4D56">
        <w:rPr>
          <w:rFonts w:ascii="Arial" w:hAnsi="Arial" w:cs="Arial"/>
          <w:color w:val="000000"/>
          <w:lang w:val="cs-CZ"/>
        </w:rPr>
        <w:t xml:space="preserve">(kupříkladu </w:t>
      </w:r>
      <w:r w:rsidRPr="00187D73">
        <w:rPr>
          <w:rFonts w:ascii="Arial" w:hAnsi="Arial" w:cs="Arial"/>
          <w:color w:val="000000"/>
          <w:lang w:val="cs-CZ"/>
        </w:rPr>
        <w:t>Logistik, Herní vývojář nebo Technik mechatronik</w:t>
      </w:r>
      <w:r w:rsidR="00DB4D56">
        <w:rPr>
          <w:rFonts w:ascii="Arial" w:hAnsi="Arial" w:cs="Arial"/>
          <w:color w:val="000000"/>
          <w:lang w:val="cs-CZ"/>
        </w:rPr>
        <w:t>, aj.)</w:t>
      </w:r>
      <w:r w:rsidRPr="00187D73">
        <w:rPr>
          <w:rFonts w:ascii="Arial" w:hAnsi="Arial" w:cs="Arial"/>
          <w:color w:val="000000"/>
          <w:lang w:val="cs-CZ"/>
        </w:rPr>
        <w:t>. Vzhledem k zastoupení významných a progresivních vysokých škol v</w:t>
      </w:r>
      <w:r w:rsidR="00DB4D56">
        <w:rPr>
          <w:rFonts w:ascii="Arial" w:hAnsi="Arial" w:cs="Arial"/>
          <w:color w:val="000000"/>
          <w:lang w:val="cs-CZ"/>
        </w:rPr>
        <w:t xml:space="preserve"> inovačních </w:t>
      </w:r>
      <w:r w:rsidRPr="00187D73">
        <w:rPr>
          <w:rFonts w:ascii="Arial" w:hAnsi="Arial" w:cs="Arial"/>
          <w:color w:val="000000"/>
          <w:lang w:val="cs-CZ"/>
        </w:rPr>
        <w:t>pracovních skupinách lze očekávat do budoucna také využití v </w:t>
      </w:r>
      <w:r w:rsidRPr="00187D73">
        <w:rPr>
          <w:rFonts w:ascii="Arial" w:hAnsi="Arial" w:cs="Arial"/>
          <w:b/>
          <w:bCs/>
          <w:color w:val="000000"/>
          <w:lang w:val="cs-CZ"/>
        </w:rPr>
        <w:t xml:space="preserve">rámci aktualizace </w:t>
      </w:r>
      <w:r w:rsidR="00742E3F">
        <w:rPr>
          <w:rFonts w:ascii="Arial" w:hAnsi="Arial" w:cs="Arial"/>
          <w:b/>
          <w:bCs/>
          <w:color w:val="000000"/>
          <w:lang w:val="cs-CZ"/>
        </w:rPr>
        <w:t xml:space="preserve">profesně zaměřených studijních </w:t>
      </w:r>
      <w:r w:rsidRPr="00187D73">
        <w:rPr>
          <w:rFonts w:ascii="Arial" w:hAnsi="Arial" w:cs="Arial"/>
          <w:b/>
          <w:bCs/>
          <w:color w:val="000000"/>
          <w:lang w:val="cs-CZ"/>
        </w:rPr>
        <w:t xml:space="preserve">programů </w:t>
      </w:r>
      <w:r w:rsidR="00742E3F">
        <w:rPr>
          <w:rFonts w:ascii="Arial" w:hAnsi="Arial" w:cs="Arial"/>
          <w:b/>
          <w:bCs/>
          <w:color w:val="000000"/>
          <w:lang w:val="cs-CZ"/>
        </w:rPr>
        <w:t>vy</w:t>
      </w:r>
      <w:r w:rsidRPr="00187D73">
        <w:rPr>
          <w:rFonts w:ascii="Arial" w:hAnsi="Arial" w:cs="Arial"/>
          <w:b/>
          <w:bCs/>
          <w:color w:val="000000"/>
          <w:lang w:val="cs-CZ"/>
        </w:rPr>
        <w:t>sokých škol.</w:t>
      </w:r>
    </w:p>
    <w:p w14:paraId="7804B2A9" w14:textId="77777777" w:rsidR="00187D73" w:rsidRPr="00187D73" w:rsidRDefault="00187D73" w:rsidP="00187D73">
      <w:pPr>
        <w:widowControl/>
        <w:spacing w:before="120" w:after="120" w:line="259" w:lineRule="auto"/>
        <w:jc w:val="both"/>
        <w:rPr>
          <w:rFonts w:ascii="Arial" w:hAnsi="Arial" w:cs="Arial"/>
          <w:color w:val="000000"/>
          <w:lang w:val="cs-CZ"/>
        </w:rPr>
      </w:pPr>
      <w:r w:rsidRPr="00187D73">
        <w:rPr>
          <w:rFonts w:ascii="Arial" w:hAnsi="Arial" w:cs="Arial"/>
          <w:color w:val="000000"/>
          <w:lang w:val="cs-CZ"/>
        </w:rPr>
        <w:t xml:space="preserve">Velký význam mají výstupy projektu také pro vzdělávaní dospělých např. v oblasti </w:t>
      </w:r>
      <w:r w:rsidRPr="00187D73">
        <w:rPr>
          <w:rFonts w:ascii="Arial" w:hAnsi="Arial" w:cs="Arial"/>
          <w:b/>
          <w:bCs/>
          <w:color w:val="000000"/>
          <w:lang w:val="cs-CZ"/>
        </w:rPr>
        <w:t>modularizace rekvalifikací a dalších kurzů</w:t>
      </w:r>
      <w:r w:rsidRPr="00187D73">
        <w:rPr>
          <w:rFonts w:ascii="Arial" w:hAnsi="Arial" w:cs="Arial"/>
          <w:color w:val="000000"/>
          <w:lang w:val="cs-CZ"/>
        </w:rPr>
        <w:t>. Zároveň je díky struktuře a provázanosti výstupů zajišťována kompatibilita mezi školským systém a dalším vzděláváním.</w:t>
      </w:r>
    </w:p>
    <w:p w14:paraId="79D61124" w14:textId="674B0F0B" w:rsidR="00617AA3" w:rsidRPr="00742E3F" w:rsidRDefault="00617AA3" w:rsidP="001907CC">
      <w:pPr>
        <w:spacing w:after="0"/>
        <w:rPr>
          <w:rFonts w:ascii="Arial" w:hAnsi="Arial" w:cs="Arial"/>
          <w:sz w:val="14"/>
          <w:szCs w:val="14"/>
          <w:lang w:val="cs-CZ"/>
        </w:rPr>
      </w:pPr>
    </w:p>
    <w:p w14:paraId="458D06C4" w14:textId="5388BA91" w:rsidR="00DB4D56" w:rsidRDefault="00DB4D56" w:rsidP="00DB4D56">
      <w:pPr>
        <w:widowControl/>
        <w:spacing w:before="120" w:after="120" w:line="259" w:lineRule="auto"/>
        <w:jc w:val="both"/>
        <w:rPr>
          <w:rFonts w:ascii="Arial" w:hAnsi="Arial" w:cs="Arial"/>
          <w:b/>
          <w:bCs/>
          <w:color w:val="000000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>Závěrem lze říci, že p</w:t>
      </w:r>
      <w:r w:rsidRPr="00DB4D56">
        <w:rPr>
          <w:rFonts w:ascii="Arial" w:hAnsi="Arial" w:cs="Arial"/>
          <w:b/>
          <w:bCs/>
          <w:color w:val="000000"/>
          <w:lang w:val="cs-CZ"/>
        </w:rPr>
        <w:t xml:space="preserve">rojekt „Kompetence 4.0“ umožňuje maximálně využít příležitostí vyplývajících ze 4. průmyslové revoluce v oblasti zaměstnanosti a vzdělávání a zmírnit </w:t>
      </w:r>
      <w:r w:rsidR="00742E3F">
        <w:rPr>
          <w:rFonts w:ascii="Arial" w:hAnsi="Arial" w:cs="Arial"/>
          <w:b/>
          <w:bCs/>
          <w:color w:val="000000"/>
          <w:lang w:val="cs-CZ"/>
        </w:rPr>
        <w:t xml:space="preserve">v tomto směru </w:t>
      </w:r>
      <w:r w:rsidRPr="00DB4D56">
        <w:rPr>
          <w:rFonts w:ascii="Arial" w:hAnsi="Arial" w:cs="Arial"/>
          <w:b/>
          <w:bCs/>
          <w:color w:val="000000"/>
          <w:lang w:val="cs-CZ"/>
        </w:rPr>
        <w:t xml:space="preserve">její případné negativní dopady na </w:t>
      </w:r>
      <w:r w:rsidR="00742E3F">
        <w:rPr>
          <w:rFonts w:ascii="Arial" w:hAnsi="Arial" w:cs="Arial"/>
          <w:b/>
          <w:bCs/>
          <w:color w:val="000000"/>
          <w:lang w:val="cs-CZ"/>
        </w:rPr>
        <w:t>firmy a jejich zaměstnance.</w:t>
      </w:r>
      <w:r w:rsidRPr="00DB4D56">
        <w:rPr>
          <w:rFonts w:ascii="Arial" w:hAnsi="Arial" w:cs="Arial"/>
          <w:b/>
          <w:bCs/>
          <w:color w:val="000000"/>
          <w:lang w:val="cs-CZ"/>
        </w:rPr>
        <w:t xml:space="preserve"> </w:t>
      </w:r>
    </w:p>
    <w:p w14:paraId="3F6A3E7E" w14:textId="77777777" w:rsidR="00742E3F" w:rsidRPr="00742E3F" w:rsidRDefault="00742E3F" w:rsidP="00DB4D56">
      <w:pPr>
        <w:widowControl/>
        <w:spacing w:before="120" w:after="120" w:line="259" w:lineRule="auto"/>
        <w:jc w:val="both"/>
        <w:rPr>
          <w:rFonts w:ascii="Arial" w:hAnsi="Arial" w:cs="Arial"/>
          <w:b/>
          <w:bCs/>
          <w:color w:val="000000"/>
          <w:sz w:val="8"/>
          <w:szCs w:val="8"/>
          <w:lang w:val="cs-CZ"/>
        </w:rPr>
      </w:pPr>
    </w:p>
    <w:p w14:paraId="43F33EF1" w14:textId="45A71F5F" w:rsidR="001907CC" w:rsidRPr="00DB4D56" w:rsidRDefault="001907CC" w:rsidP="00DB4D56">
      <w:pPr>
        <w:widowControl/>
        <w:spacing w:before="120" w:after="120" w:line="259" w:lineRule="auto"/>
        <w:jc w:val="both"/>
        <w:rPr>
          <w:rFonts w:ascii="Arial" w:hAnsi="Arial" w:cs="Arial"/>
          <w:b/>
          <w:bCs/>
          <w:color w:val="000000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 xml:space="preserve">Všechny potřebné informace a výstupy projektu naleznete na webových stránkách </w:t>
      </w:r>
      <w:hyperlink r:id="rId10" w:history="1">
        <w:r w:rsidRPr="007A3AAD">
          <w:rPr>
            <w:rStyle w:val="Hypertextovodkaz"/>
            <w:rFonts w:ascii="Arial" w:hAnsi="Arial" w:cs="Arial"/>
            <w:b/>
            <w:bCs/>
            <w:lang w:val="cs-CZ"/>
          </w:rPr>
          <w:t>www.mpsv.cz/kompetence</w:t>
        </w:r>
      </w:hyperlink>
      <w:r>
        <w:rPr>
          <w:rFonts w:ascii="Arial" w:hAnsi="Arial" w:cs="Arial"/>
          <w:b/>
          <w:bCs/>
          <w:color w:val="000000"/>
          <w:lang w:val="cs-CZ"/>
        </w:rPr>
        <w:t xml:space="preserve">. </w:t>
      </w:r>
    </w:p>
    <w:sectPr w:rsidR="001907CC" w:rsidRPr="00DB4D56" w:rsidSect="00617AA3">
      <w:headerReference w:type="default" r:id="rId11"/>
      <w:footerReference w:type="default" r:id="rId12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5454F" w14:textId="77777777" w:rsidR="00BA4A1C" w:rsidRDefault="00BA4A1C" w:rsidP="00617AA3">
      <w:pPr>
        <w:spacing w:after="0" w:line="240" w:lineRule="auto"/>
      </w:pPr>
      <w:r>
        <w:separator/>
      </w:r>
    </w:p>
  </w:endnote>
  <w:endnote w:type="continuationSeparator" w:id="0">
    <w:p w14:paraId="5E44258A" w14:textId="77777777" w:rsidR="00BA4A1C" w:rsidRDefault="00BA4A1C" w:rsidP="0061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5491" w14:textId="77777777" w:rsidR="00C92DD9" w:rsidRDefault="00FE614E" w:rsidP="00C92DD9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ind w:right="-143"/>
      <w:rPr>
        <w:rFonts w:ascii="Verdana" w:hAnsi="Verdana"/>
        <w:sz w:val="16"/>
        <w:szCs w:val="16"/>
        <w:lang w:val="cs-CZ"/>
      </w:rPr>
    </w:pPr>
    <w:r w:rsidRPr="00187D73">
      <w:rPr>
        <w:rFonts w:ascii="Verdana" w:hAnsi="Verdana"/>
        <w:sz w:val="16"/>
        <w:szCs w:val="16"/>
        <w:lang w:val="cs-CZ"/>
      </w:rPr>
      <w:t>Mapování budoucích kompetencí jako součást</w:t>
    </w:r>
    <w:r w:rsidR="00C92DD9">
      <w:rPr>
        <w:rFonts w:ascii="Verdana" w:hAnsi="Verdana"/>
        <w:sz w:val="16"/>
        <w:szCs w:val="16"/>
        <w:lang w:val="cs-CZ"/>
      </w:rPr>
      <w:t xml:space="preserve"> </w:t>
    </w:r>
    <w:r w:rsidR="00C92DD9" w:rsidRPr="00187D73">
      <w:rPr>
        <w:rFonts w:ascii="Verdana" w:hAnsi="Verdana"/>
        <w:sz w:val="16"/>
        <w:szCs w:val="16"/>
        <w:lang w:val="cs-CZ"/>
      </w:rPr>
      <w:t>systémových opatření pro vymezení požadavků</w:t>
    </w:r>
    <w:r w:rsidR="00C92DD9">
      <w:rPr>
        <w:rFonts w:ascii="Verdana" w:hAnsi="Verdana"/>
        <w:sz w:val="16"/>
        <w:szCs w:val="16"/>
        <w:lang w:val="cs-CZ"/>
      </w:rPr>
      <w:t xml:space="preserve"> </w:t>
    </w:r>
    <w:r w:rsidR="00C92DD9" w:rsidRPr="00187D73">
      <w:rPr>
        <w:rFonts w:ascii="Verdana" w:hAnsi="Verdana"/>
        <w:sz w:val="16"/>
        <w:szCs w:val="16"/>
        <w:lang w:val="cs-CZ"/>
      </w:rPr>
      <w:t xml:space="preserve">trhu práce </w:t>
    </w:r>
  </w:p>
  <w:p w14:paraId="1EBC431C" w14:textId="13861919" w:rsidR="00FE614E" w:rsidRPr="00187D73" w:rsidRDefault="00C92DD9" w:rsidP="00C92DD9">
    <w:pPr>
      <w:widowControl/>
      <w:tabs>
        <w:tab w:val="center" w:pos="4820"/>
        <w:tab w:val="left" w:pos="5103"/>
        <w:tab w:val="left" w:pos="5812"/>
        <w:tab w:val="right" w:pos="9072"/>
      </w:tabs>
      <w:spacing w:after="0" w:line="240" w:lineRule="auto"/>
      <w:ind w:right="-143"/>
      <w:rPr>
        <w:rFonts w:ascii="Verdana" w:hAnsi="Verdana"/>
        <w:sz w:val="16"/>
        <w:szCs w:val="16"/>
        <w:lang w:val="cs-CZ"/>
      </w:rPr>
    </w:pPr>
    <w:r w:rsidRPr="00187D73">
      <w:rPr>
        <w:rFonts w:ascii="Verdana" w:hAnsi="Verdana"/>
        <w:sz w:val="16"/>
        <w:szCs w:val="16"/>
        <w:lang w:val="cs-CZ"/>
      </w:rPr>
      <w:t>Kompetence 4.0</w:t>
    </w:r>
    <w:r w:rsidR="00FE614E" w:rsidRPr="00187D73">
      <w:rPr>
        <w:rFonts w:ascii="Verdana" w:hAnsi="Verdana"/>
        <w:sz w:val="16"/>
        <w:szCs w:val="16"/>
        <w:lang w:val="cs-CZ"/>
      </w:rPr>
      <w:tab/>
      <w:t>CZ.03.1.54/0.0/0.0/15._122/0010231</w:t>
    </w:r>
  </w:p>
  <w:p w14:paraId="37675D04" w14:textId="77777777" w:rsidR="00617AA3" w:rsidRPr="00FE614E" w:rsidRDefault="00617AA3" w:rsidP="00FE614E">
    <w:pPr>
      <w:pStyle w:val="Zpat"/>
      <w:tabs>
        <w:tab w:val="left" w:pos="5812"/>
      </w:tabs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B83E" w14:textId="77777777" w:rsidR="00BA4A1C" w:rsidRDefault="00BA4A1C" w:rsidP="00617AA3">
      <w:pPr>
        <w:spacing w:after="0" w:line="240" w:lineRule="auto"/>
      </w:pPr>
      <w:r>
        <w:separator/>
      </w:r>
    </w:p>
  </w:footnote>
  <w:footnote w:type="continuationSeparator" w:id="0">
    <w:p w14:paraId="4A9B1691" w14:textId="77777777" w:rsidR="00BA4A1C" w:rsidRDefault="00BA4A1C" w:rsidP="0061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AD81" w14:textId="77777777" w:rsidR="00617AA3" w:rsidRDefault="00F0738F">
    <w:pPr>
      <w:pStyle w:val="Zhlav"/>
    </w:pPr>
    <w:r w:rsidRPr="00F0738F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82C726F" wp14:editId="0C2F0BA2">
          <wp:simplePos x="0" y="0"/>
          <wp:positionH relativeFrom="margin">
            <wp:posOffset>5650230</wp:posOffset>
          </wp:positionH>
          <wp:positionV relativeFrom="margin">
            <wp:posOffset>-446405</wp:posOffset>
          </wp:positionV>
          <wp:extent cx="512445" cy="494030"/>
          <wp:effectExtent l="0" t="0" r="1905" b="1270"/>
          <wp:wrapSquare wrapText="bothSides"/>
          <wp:docPr id="6" name="obrázek 1" descr="Image result for logo mp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mpsv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2709" t="-494" r="23070"/>
                  <a:stretch/>
                </pic:blipFill>
                <pic:spPr bwMode="auto">
                  <a:xfrm>
                    <a:off x="0" y="0"/>
                    <a:ext cx="51244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738F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3DDEA45" wp14:editId="7371172E">
          <wp:simplePos x="0" y="0"/>
          <wp:positionH relativeFrom="margin">
            <wp:posOffset>-66675</wp:posOffset>
          </wp:positionH>
          <wp:positionV relativeFrom="margin">
            <wp:posOffset>-452755</wp:posOffset>
          </wp:positionV>
          <wp:extent cx="2623185" cy="499745"/>
          <wp:effectExtent l="0" t="0" r="5715" b="0"/>
          <wp:wrapSquare wrapText="bothSides"/>
          <wp:docPr id="1" name="obrázek 10" descr="Image result for logo operacni program zamestna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 result for logo operacni program zamestnanost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5002" t="15439" r="2301" b="21615"/>
                  <a:stretch/>
                </pic:blipFill>
                <pic:spPr bwMode="auto">
                  <a:xfrm>
                    <a:off x="0" y="0"/>
                    <a:ext cx="262318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AA3">
      <w:rPr>
        <w:noProof/>
        <w:lang w:eastAsia="cs-CZ"/>
      </w:rPr>
      <w:ptab w:relativeTo="margin" w:alignment="left" w:leader="none"/>
    </w:r>
    <w:r w:rsidR="00617AA3">
      <w:rPr>
        <w:noProof/>
        <w:lang w:eastAsia="cs-CZ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2A7"/>
    <w:multiLevelType w:val="hybridMultilevel"/>
    <w:tmpl w:val="FE0EE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9165C"/>
    <w:multiLevelType w:val="hybridMultilevel"/>
    <w:tmpl w:val="08504818"/>
    <w:lvl w:ilvl="0" w:tplc="A252AE9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01DB1"/>
    <w:multiLevelType w:val="hybridMultilevel"/>
    <w:tmpl w:val="B3044242"/>
    <w:lvl w:ilvl="0" w:tplc="A252A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A3"/>
    <w:rsid w:val="00187D73"/>
    <w:rsid w:val="001907CC"/>
    <w:rsid w:val="00250C24"/>
    <w:rsid w:val="003B4F13"/>
    <w:rsid w:val="003C3E5B"/>
    <w:rsid w:val="003E13F6"/>
    <w:rsid w:val="004324C0"/>
    <w:rsid w:val="0047493F"/>
    <w:rsid w:val="00617AA3"/>
    <w:rsid w:val="006B54AB"/>
    <w:rsid w:val="007371AC"/>
    <w:rsid w:val="00742E3F"/>
    <w:rsid w:val="007C4E1B"/>
    <w:rsid w:val="00811EAB"/>
    <w:rsid w:val="008146F8"/>
    <w:rsid w:val="008F6889"/>
    <w:rsid w:val="00942C23"/>
    <w:rsid w:val="00BA4A1C"/>
    <w:rsid w:val="00C92DD9"/>
    <w:rsid w:val="00D06449"/>
    <w:rsid w:val="00D51BEC"/>
    <w:rsid w:val="00D571D4"/>
    <w:rsid w:val="00DB4D56"/>
    <w:rsid w:val="00E82957"/>
    <w:rsid w:val="00EB3F9E"/>
    <w:rsid w:val="00F0738F"/>
    <w:rsid w:val="00F86E3E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2EF93"/>
  <w15:docId w15:val="{E9FDDB8A-466E-4C0F-9651-4ED93F18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DD9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617AA3"/>
  </w:style>
  <w:style w:type="paragraph" w:styleId="Zpat">
    <w:name w:val="footer"/>
    <w:basedOn w:val="Normln"/>
    <w:link w:val="ZpatChar"/>
    <w:uiPriority w:val="99"/>
    <w:unhideWhenUsed/>
    <w:rsid w:val="00617AA3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617AA3"/>
  </w:style>
  <w:style w:type="paragraph" w:styleId="Textbubliny">
    <w:name w:val="Balloon Text"/>
    <w:basedOn w:val="Normln"/>
    <w:link w:val="TextbublinyChar"/>
    <w:uiPriority w:val="99"/>
    <w:semiHidden/>
    <w:unhideWhenUsed/>
    <w:rsid w:val="00617AA3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7AA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17AA3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617AA3"/>
    <w:pPr>
      <w:widowControl/>
      <w:spacing w:after="120" w:line="240" w:lineRule="auto"/>
    </w:pPr>
    <w:rPr>
      <w:rFonts w:ascii="Verdana" w:eastAsia="Times New Roman" w:hAnsi="Verdana"/>
      <w:sz w:val="18"/>
      <w:szCs w:val="18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617AA3"/>
    <w:rPr>
      <w:rFonts w:ascii="Verdana" w:eastAsia="Times New Roman" w:hAnsi="Verdana" w:cs="Times New Roman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9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psv.cz/kompetence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99B5ADF54B94F8B4224DCB06A2EB8" ma:contentTypeVersion="4" ma:contentTypeDescription="Vytvoří nový dokument" ma:contentTypeScope="" ma:versionID="7364745558177c647830ae83af35b6c5">
  <xsd:schema xmlns:xsd="http://www.w3.org/2001/XMLSchema" xmlns:xs="http://www.w3.org/2001/XMLSchema" xmlns:p="http://schemas.microsoft.com/office/2006/metadata/properties" xmlns:ns2="b0f60ff9-c8ab-4cf6-877a-a34640e01654" xmlns:ns3="74d53af6-1c70-4c32-ac6b-be9a7d448fae" targetNamespace="http://schemas.microsoft.com/office/2006/metadata/properties" ma:root="true" ma:fieldsID="d96239d02676ffa3b1051c61db01e129" ns2:_="" ns3:_="">
    <xsd:import namespace="b0f60ff9-c8ab-4cf6-877a-a34640e01654"/>
    <xsd:import namespace="74d53af6-1c70-4c32-ac6b-be9a7d448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60ff9-c8ab-4cf6-877a-a34640e016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3af6-1c70-4c32-ac6b-be9a7d448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92E8B-C858-412A-911A-7EA74950E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D0F41B-738E-4D0E-AADD-8399BACD1C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6A668-F703-4DCE-99CF-9CB12D430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1357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Bendíková</dc:creator>
  <cp:lastModifiedBy>Bartáková Petra Mgr. (MPSV)</cp:lastModifiedBy>
  <cp:revision>3</cp:revision>
  <cp:lastPrinted>2022-11-29T13:47:00Z</cp:lastPrinted>
  <dcterms:created xsi:type="dcterms:W3CDTF">2022-12-09T11:56:00Z</dcterms:created>
  <dcterms:modified xsi:type="dcterms:W3CDTF">2022-12-09T11:58:00Z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0x0101004BA99B5ADF54B94F8B4224DCB06A2EB8</vt:lpwstr>
  </property>
</Properties>
</file>